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4D98" w14:textId="56B9AB28" w:rsidR="004A1ABB" w:rsidRPr="000B09E4" w:rsidRDefault="000B09E4" w:rsidP="000B09E4">
      <w:pPr>
        <w:spacing w:after="0" w:line="240" w:lineRule="auto"/>
        <w:ind w:firstLine="5220"/>
        <w:rPr>
          <w:b/>
          <w:bCs/>
        </w:rPr>
      </w:pPr>
      <w:r w:rsidRPr="000B09E4">
        <w:rPr>
          <w:b/>
          <w:bCs/>
          <w:noProof/>
        </w:rPr>
        <w:drawing>
          <wp:anchor distT="0" distB="0" distL="114300" distR="114300" simplePos="0" relativeHeight="251658240" behindDoc="0" locked="0" layoutInCell="1" allowOverlap="1" wp14:anchorId="7B239799" wp14:editId="28AFE91B">
            <wp:simplePos x="0" y="0"/>
            <wp:positionH relativeFrom="margin">
              <wp:align>left</wp:align>
            </wp:positionH>
            <wp:positionV relativeFrom="paragraph">
              <wp:posOffset>0</wp:posOffset>
            </wp:positionV>
            <wp:extent cx="1581150" cy="595630"/>
            <wp:effectExtent l="0" t="0" r="0" b="0"/>
            <wp:wrapThrough wrapText="bothSides">
              <wp:wrapPolygon edited="0">
                <wp:start x="0" y="0"/>
                <wp:lineTo x="0" y="20725"/>
                <wp:lineTo x="20819" y="20725"/>
                <wp:lineTo x="21340" y="18652"/>
                <wp:lineTo x="21340" y="6908"/>
                <wp:lineTo x="20559" y="0"/>
                <wp:lineTo x="0" y="0"/>
              </wp:wrapPolygon>
            </wp:wrapThrough>
            <wp:docPr id="1604026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09E4">
        <w:rPr>
          <w:b/>
          <w:bCs/>
        </w:rPr>
        <w:t>Plant Industry Division</w:t>
      </w:r>
    </w:p>
    <w:p w14:paraId="7F542ECC" w14:textId="07C16BAA" w:rsidR="000B09E4" w:rsidRDefault="000B09E4" w:rsidP="000B09E4">
      <w:pPr>
        <w:spacing w:after="0" w:line="240" w:lineRule="auto"/>
        <w:ind w:firstLine="5220"/>
      </w:pPr>
      <w:r>
        <w:t>1428 South King Street</w:t>
      </w:r>
    </w:p>
    <w:p w14:paraId="26D641EC" w14:textId="3D7F4FE8" w:rsidR="000B09E4" w:rsidRDefault="000B09E4" w:rsidP="000B09E4">
      <w:pPr>
        <w:ind w:firstLine="5220"/>
      </w:pPr>
      <w:r>
        <w:t>Honolulu, HI 96813</w:t>
      </w:r>
    </w:p>
    <w:p w14:paraId="4AD0ED92" w14:textId="77777777" w:rsidR="000B09E4" w:rsidRPr="000B09E4" w:rsidRDefault="000B09E4" w:rsidP="000B09E4">
      <w:pPr>
        <w:spacing w:after="0" w:line="240" w:lineRule="auto"/>
        <w:rPr>
          <w:sz w:val="10"/>
          <w:szCs w:val="10"/>
        </w:rPr>
      </w:pPr>
    </w:p>
    <w:tbl>
      <w:tblPr>
        <w:tblW w:w="10790" w:type="dxa"/>
        <w:tblLook w:val="04A0" w:firstRow="1" w:lastRow="0" w:firstColumn="1" w:lastColumn="0" w:noHBand="0" w:noVBand="1"/>
      </w:tblPr>
      <w:tblGrid>
        <w:gridCol w:w="1880"/>
        <w:gridCol w:w="8910"/>
      </w:tblGrid>
      <w:tr w:rsidR="000B09E4" w:rsidRPr="00C650D8" w14:paraId="571DE564" w14:textId="77777777" w:rsidTr="00243AAD">
        <w:trPr>
          <w:trHeight w:val="330"/>
        </w:trPr>
        <w:tc>
          <w:tcPr>
            <w:tcW w:w="10790" w:type="dxa"/>
            <w:gridSpan w:val="2"/>
            <w:tcBorders>
              <w:top w:val="single" w:sz="8" w:space="0" w:color="auto"/>
              <w:left w:val="single" w:sz="8" w:space="0" w:color="auto"/>
              <w:bottom w:val="single" w:sz="8" w:space="0" w:color="auto"/>
              <w:right w:val="single" w:sz="8" w:space="0" w:color="000000"/>
            </w:tcBorders>
            <w:vAlign w:val="center"/>
            <w:hideMark/>
          </w:tcPr>
          <w:p w14:paraId="5303E2BA" w14:textId="77777777" w:rsidR="000B09E4" w:rsidRPr="00C650D8" w:rsidRDefault="000B09E4" w:rsidP="00243AAD">
            <w:pPr>
              <w:spacing w:after="0" w:line="240" w:lineRule="auto"/>
              <w:jc w:val="center"/>
              <w:rPr>
                <w:rFonts w:ascii="Arial" w:eastAsia="Times New Roman" w:hAnsi="Arial" w:cs="Arial"/>
                <w:b/>
                <w:bCs/>
                <w:color w:val="000000"/>
                <w:kern w:val="0"/>
                <w:sz w:val="22"/>
                <w:szCs w:val="22"/>
                <w14:ligatures w14:val="none"/>
              </w:rPr>
            </w:pPr>
            <w:r w:rsidRPr="00C650D8">
              <w:rPr>
                <w:rFonts w:ascii="Arial" w:eastAsia="Times New Roman" w:hAnsi="Arial" w:cs="Arial"/>
                <w:b/>
                <w:bCs/>
                <w:color w:val="000000"/>
                <w:kern w:val="0"/>
                <w:sz w:val="22"/>
                <w:szCs w:val="22"/>
                <w14:ligatures w14:val="none"/>
              </w:rPr>
              <w:t>Fact Sheet: Permanent Compost Reimbursement Program (CRP) Fiscal Year 2026</w:t>
            </w:r>
          </w:p>
        </w:tc>
      </w:tr>
      <w:tr w:rsidR="000B09E4" w:rsidRPr="00C650D8" w14:paraId="4C5294B8" w14:textId="77777777" w:rsidTr="00E8041C">
        <w:trPr>
          <w:trHeight w:val="673"/>
        </w:trPr>
        <w:tc>
          <w:tcPr>
            <w:tcW w:w="1880" w:type="dxa"/>
            <w:tcBorders>
              <w:top w:val="nil"/>
              <w:left w:val="single" w:sz="8" w:space="0" w:color="auto"/>
              <w:bottom w:val="single" w:sz="4" w:space="0" w:color="auto"/>
              <w:right w:val="nil"/>
            </w:tcBorders>
            <w:vAlign w:val="center"/>
            <w:hideMark/>
          </w:tcPr>
          <w:p w14:paraId="30F615C8"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Program Funding</w:t>
            </w:r>
          </w:p>
        </w:tc>
        <w:tc>
          <w:tcPr>
            <w:tcW w:w="8910" w:type="dxa"/>
            <w:tcBorders>
              <w:top w:val="nil"/>
              <w:left w:val="single" w:sz="8" w:space="0" w:color="auto"/>
              <w:bottom w:val="nil"/>
              <w:right w:val="single" w:sz="8" w:space="0" w:color="auto"/>
            </w:tcBorders>
            <w:vAlign w:val="center"/>
            <w:hideMark/>
          </w:tcPr>
          <w:p w14:paraId="6BAE5512" w14:textId="43546B21" w:rsidR="000B09E4" w:rsidRDefault="000B09E4" w:rsidP="00243AAD">
            <w:pPr>
              <w:spacing w:after="0" w:line="240" w:lineRule="auto"/>
              <w:jc w:val="center"/>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$400,000 for the fiscal year</w:t>
            </w:r>
            <w:r w:rsidR="002D42D7">
              <w:rPr>
                <w:rFonts w:ascii="Arial" w:eastAsia="Times New Roman" w:hAnsi="Arial" w:cs="Arial"/>
                <w:color w:val="000000"/>
                <w:kern w:val="0"/>
                <w:sz w:val="22"/>
                <w:szCs w:val="22"/>
                <w14:ligatures w14:val="none"/>
              </w:rPr>
              <w:t xml:space="preserve"> 2026 (from July 1, 2025, through May 1, 2026)</w:t>
            </w:r>
            <w:r w:rsidRPr="00C650D8">
              <w:rPr>
                <w:rFonts w:ascii="Arial" w:eastAsia="Times New Roman" w:hAnsi="Arial" w:cs="Arial"/>
                <w:color w:val="000000"/>
                <w:kern w:val="0"/>
                <w:sz w:val="22"/>
                <w:szCs w:val="22"/>
                <w14:ligatures w14:val="none"/>
              </w:rPr>
              <w:t>.</w:t>
            </w:r>
          </w:p>
          <w:p w14:paraId="1A029551" w14:textId="77777777" w:rsidR="000B09E4" w:rsidRPr="007D75B6" w:rsidRDefault="000B09E4" w:rsidP="00243AAD">
            <w:pPr>
              <w:spacing w:after="0" w:line="240" w:lineRule="auto"/>
              <w:jc w:val="center"/>
              <w:rPr>
                <w:rFonts w:ascii="Arial" w:eastAsia="Times New Roman" w:hAnsi="Arial" w:cs="Arial"/>
                <w:color w:val="000000"/>
                <w:kern w:val="0"/>
                <w:sz w:val="8"/>
                <w:szCs w:val="8"/>
                <w14:ligatures w14:val="none"/>
              </w:rPr>
            </w:pPr>
          </w:p>
          <w:p w14:paraId="17D7C94F" w14:textId="3EE2EB18" w:rsidR="000B09E4" w:rsidRPr="00C650D8" w:rsidRDefault="000B09E4" w:rsidP="00243AAD">
            <w:pPr>
              <w:spacing w:after="0" w:line="240" w:lineRule="auto"/>
              <w:jc w:val="center"/>
              <w:rPr>
                <w:rFonts w:ascii="Arial" w:eastAsia="Times New Roman" w:hAnsi="Arial" w:cs="Arial"/>
                <w:color w:val="000000"/>
                <w:kern w:val="0"/>
                <w:sz w:val="22"/>
                <w:szCs w:val="22"/>
                <w14:ligatures w14:val="none"/>
              </w:rPr>
            </w:pPr>
          </w:p>
        </w:tc>
      </w:tr>
      <w:tr w:rsidR="000B09E4" w:rsidRPr="00C650D8" w14:paraId="65CB5E7B" w14:textId="77777777" w:rsidTr="00243AAD">
        <w:trPr>
          <w:trHeight w:val="1601"/>
        </w:trPr>
        <w:tc>
          <w:tcPr>
            <w:tcW w:w="1880" w:type="dxa"/>
            <w:vMerge w:val="restart"/>
            <w:tcBorders>
              <w:top w:val="nil"/>
              <w:left w:val="single" w:sz="8" w:space="0" w:color="auto"/>
              <w:bottom w:val="single" w:sz="4" w:space="0" w:color="auto"/>
              <w:right w:val="nil"/>
            </w:tcBorders>
            <w:vAlign w:val="center"/>
            <w:hideMark/>
          </w:tcPr>
          <w:p w14:paraId="17203974"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Eligible Operations</w:t>
            </w:r>
          </w:p>
        </w:tc>
        <w:tc>
          <w:tcPr>
            <w:tcW w:w="8910" w:type="dxa"/>
            <w:tcBorders>
              <w:top w:val="single" w:sz="4" w:space="0" w:color="auto"/>
              <w:left w:val="single" w:sz="8" w:space="0" w:color="auto"/>
              <w:bottom w:val="single" w:sz="4" w:space="0" w:color="auto"/>
              <w:right w:val="single" w:sz="8" w:space="0" w:color="auto"/>
            </w:tcBorders>
            <w:vAlign w:val="center"/>
            <w:hideMark/>
          </w:tcPr>
          <w:p w14:paraId="4A48CC1D" w14:textId="402A506D"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Farming Operations (per </w:t>
            </w:r>
            <w:r>
              <w:rPr>
                <w:rFonts w:ascii="Arial" w:eastAsia="Times New Roman" w:hAnsi="Arial" w:cs="Arial"/>
                <w:color w:val="000000"/>
                <w:kern w:val="0"/>
                <w:sz w:val="22"/>
                <w:szCs w:val="22"/>
                <w14:ligatures w14:val="none"/>
              </w:rPr>
              <w:t xml:space="preserve">section </w:t>
            </w:r>
            <w:r w:rsidRPr="00C650D8">
              <w:rPr>
                <w:rFonts w:ascii="Arial" w:eastAsia="Times New Roman" w:hAnsi="Arial" w:cs="Arial"/>
                <w:color w:val="000000"/>
                <w:kern w:val="0"/>
                <w:sz w:val="22"/>
                <w:szCs w:val="22"/>
                <w14:ligatures w14:val="none"/>
              </w:rPr>
              <w:t>165-2</w:t>
            </w:r>
            <w:r>
              <w:rPr>
                <w:rFonts w:ascii="Arial" w:eastAsia="Times New Roman" w:hAnsi="Arial" w:cs="Arial"/>
                <w:color w:val="000000"/>
                <w:kern w:val="0"/>
                <w:sz w:val="22"/>
                <w:szCs w:val="22"/>
                <w14:ligatures w14:val="none"/>
              </w:rPr>
              <w:t xml:space="preserve"> of </w:t>
            </w:r>
            <w:r w:rsidRPr="00C650D8">
              <w:rPr>
                <w:rFonts w:ascii="Arial" w:eastAsia="Times New Roman" w:hAnsi="Arial" w:cs="Arial"/>
                <w:i/>
                <w:iCs/>
                <w:color w:val="000000"/>
                <w:kern w:val="0"/>
                <w:sz w:val="22"/>
                <w:szCs w:val="22"/>
                <w14:ligatures w14:val="none"/>
              </w:rPr>
              <w:t>Hawai‘i Revised Statutes</w:t>
            </w:r>
            <w:r w:rsidRPr="00C650D8">
              <w:rPr>
                <w:rFonts w:ascii="Arial" w:eastAsia="Times New Roman" w:hAnsi="Arial" w:cs="Arial"/>
                <w:color w:val="000000"/>
                <w:kern w:val="0"/>
                <w:sz w:val="22"/>
                <w:szCs w:val="22"/>
                <w14:ligatures w14:val="none"/>
              </w:rPr>
              <w:t>): A commercial agricultural, or aquacultural facility or pursuit conducted, in whole or in part, including the care and production of livestock products, poultry products, apiary products, and plant and animal production for non-food uses; the planting, cultivating, harvesting, and processing of crops; and the farming or ranching of any plant or animal species in a controlled salt, brackish, or freshwater environment.</w:t>
            </w:r>
          </w:p>
        </w:tc>
      </w:tr>
      <w:tr w:rsidR="000B09E4" w:rsidRPr="00C650D8" w14:paraId="06981F13" w14:textId="77777777" w:rsidTr="00E8041C">
        <w:trPr>
          <w:trHeight w:val="2429"/>
        </w:trPr>
        <w:tc>
          <w:tcPr>
            <w:tcW w:w="1880" w:type="dxa"/>
            <w:vMerge/>
            <w:tcBorders>
              <w:top w:val="nil"/>
              <w:left w:val="single" w:sz="8" w:space="0" w:color="auto"/>
              <w:bottom w:val="single" w:sz="4" w:space="0" w:color="auto"/>
              <w:right w:val="nil"/>
            </w:tcBorders>
            <w:vAlign w:val="center"/>
            <w:hideMark/>
          </w:tcPr>
          <w:p w14:paraId="45F48EBE"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nil"/>
              <w:right w:val="single" w:sz="8" w:space="0" w:color="auto"/>
            </w:tcBorders>
            <w:vAlign w:val="center"/>
            <w:hideMark/>
          </w:tcPr>
          <w:p w14:paraId="5214E4BE" w14:textId="1FE2B2BA" w:rsidR="000B09E4" w:rsidRPr="00C650D8" w:rsidRDefault="000B09E4" w:rsidP="00243AAD">
            <w:pPr>
              <w:spacing w:after="0" w:line="240" w:lineRule="auto"/>
              <w:ind w:right="-14"/>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Landscaping Operations (per Chapter 444</w:t>
            </w:r>
            <w:r>
              <w:rPr>
                <w:rFonts w:ascii="Arial" w:eastAsia="Times New Roman" w:hAnsi="Arial" w:cs="Arial"/>
                <w:color w:val="000000"/>
                <w:kern w:val="0"/>
                <w:sz w:val="22"/>
                <w:szCs w:val="22"/>
                <w14:ligatures w14:val="none"/>
              </w:rPr>
              <w:t xml:space="preserve"> of </w:t>
            </w:r>
            <w:r w:rsidRPr="00C650D8">
              <w:rPr>
                <w:rFonts w:ascii="Arial" w:eastAsia="Times New Roman" w:hAnsi="Arial" w:cs="Arial"/>
                <w:i/>
                <w:iCs/>
                <w:color w:val="000000"/>
                <w:kern w:val="0"/>
                <w:sz w:val="22"/>
                <w:szCs w:val="22"/>
                <w14:ligatures w14:val="none"/>
              </w:rPr>
              <w:t>Hawai‘i Revised States</w:t>
            </w:r>
            <w:r w:rsidR="002D42D7">
              <w:rPr>
                <w:rFonts w:ascii="Arial" w:eastAsia="Times New Roman" w:hAnsi="Arial" w:cs="Arial"/>
                <w:i/>
                <w:iCs/>
                <w:color w:val="000000"/>
                <w:kern w:val="0"/>
                <w:sz w:val="22"/>
                <w:szCs w:val="22"/>
                <w14:ligatures w14:val="none"/>
              </w:rPr>
              <w:t>, and Chapter 16-77 of Hawai</w:t>
            </w:r>
            <w:r w:rsidR="002D42D7" w:rsidRPr="00C650D8">
              <w:rPr>
                <w:rFonts w:ascii="Arial" w:eastAsia="Times New Roman" w:hAnsi="Arial" w:cs="Arial"/>
                <w:i/>
                <w:iCs/>
                <w:color w:val="000000"/>
                <w:kern w:val="0"/>
                <w:sz w:val="22"/>
                <w:szCs w:val="22"/>
                <w14:ligatures w14:val="none"/>
              </w:rPr>
              <w:t>‘</w:t>
            </w:r>
            <w:r w:rsidR="002D42D7">
              <w:rPr>
                <w:rFonts w:ascii="Arial" w:eastAsia="Times New Roman" w:hAnsi="Arial" w:cs="Arial"/>
                <w:i/>
                <w:iCs/>
                <w:color w:val="000000"/>
                <w:kern w:val="0"/>
                <w:sz w:val="22"/>
                <w:szCs w:val="22"/>
                <w14:ligatures w14:val="none"/>
              </w:rPr>
              <w:t>i Administrative Rules, Exhibit A</w:t>
            </w:r>
            <w:r w:rsidRPr="00C650D8">
              <w:rPr>
                <w:rFonts w:ascii="Arial" w:eastAsia="Times New Roman" w:hAnsi="Arial" w:cs="Arial"/>
                <w:color w:val="000000"/>
                <w:kern w:val="0"/>
                <w:sz w:val="22"/>
                <w:szCs w:val="22"/>
                <w14:ligatures w14:val="none"/>
              </w:rPr>
              <w:t>): C-27 Landscaping contractor: To prepare plots of land for architectural horticulture and to provide tree trimming decorative treatment and arrangement of gardens, lawns, scrubs, vines, bushes, trees and other decorative vegetation, construct conservatories, hot and green houses, drainage and sprinkler systems all types of rock scaping and ornamental pools, fountains, ornamental walls, fences, and walks: and placement of hydro mulching for ground cover and for containment of soil. This also includes the installation of irrigation control or decorative lamp electrical wiring associated with the above that will carry 24 volts of less.</w:t>
            </w:r>
          </w:p>
        </w:tc>
      </w:tr>
      <w:tr w:rsidR="000B09E4" w:rsidRPr="00C650D8" w14:paraId="62A910D4" w14:textId="77777777" w:rsidTr="00243AAD">
        <w:trPr>
          <w:trHeight w:val="300"/>
        </w:trPr>
        <w:tc>
          <w:tcPr>
            <w:tcW w:w="1880" w:type="dxa"/>
            <w:vMerge w:val="restart"/>
            <w:tcBorders>
              <w:top w:val="nil"/>
              <w:left w:val="single" w:sz="8" w:space="0" w:color="auto"/>
              <w:bottom w:val="single" w:sz="4" w:space="0" w:color="auto"/>
              <w:right w:val="nil"/>
            </w:tcBorders>
            <w:vAlign w:val="center"/>
            <w:hideMark/>
          </w:tcPr>
          <w:p w14:paraId="14ECCB69" w14:textId="088B7D4A"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State Requirement</w:t>
            </w:r>
            <w:r w:rsidR="004C28C7">
              <w:rPr>
                <w:rFonts w:ascii="Arial" w:eastAsia="Times New Roman" w:hAnsi="Arial" w:cs="Arial"/>
                <w:color w:val="000000"/>
                <w:kern w:val="0"/>
                <w:sz w:val="22"/>
                <w:szCs w:val="22"/>
                <w14:ligatures w14:val="none"/>
              </w:rPr>
              <w:t>s</w:t>
            </w:r>
          </w:p>
        </w:tc>
        <w:tc>
          <w:tcPr>
            <w:tcW w:w="8910" w:type="dxa"/>
            <w:tcBorders>
              <w:top w:val="single" w:sz="4" w:space="0" w:color="auto"/>
              <w:left w:val="single" w:sz="8" w:space="0" w:color="auto"/>
              <w:bottom w:val="single" w:sz="4" w:space="0" w:color="auto"/>
              <w:right w:val="single" w:sz="8" w:space="0" w:color="auto"/>
            </w:tcBorders>
            <w:vAlign w:val="center"/>
            <w:hideMark/>
          </w:tcPr>
          <w:p w14:paraId="5B4434C3" w14:textId="3CD811BB"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Form A</w:t>
            </w:r>
            <w:r w:rsidR="002D42D7">
              <w:rPr>
                <w:rFonts w:ascii="Arial" w:eastAsia="Times New Roman" w:hAnsi="Arial" w:cs="Arial"/>
                <w:color w:val="000000"/>
                <w:kern w:val="0"/>
                <w:sz w:val="22"/>
                <w:szCs w:val="22"/>
                <w14:ligatures w14:val="none"/>
              </w:rPr>
              <w:t>:  Application Form</w:t>
            </w:r>
            <w:r w:rsidRPr="00C650D8">
              <w:rPr>
                <w:rFonts w:ascii="Arial" w:eastAsia="Times New Roman" w:hAnsi="Arial" w:cs="Arial"/>
                <w:color w:val="000000"/>
                <w:kern w:val="0"/>
                <w:sz w:val="22"/>
                <w:szCs w:val="22"/>
                <w14:ligatures w14:val="none"/>
              </w:rPr>
              <w:t>.</w:t>
            </w:r>
          </w:p>
        </w:tc>
      </w:tr>
      <w:tr w:rsidR="000B09E4" w:rsidRPr="00C650D8" w14:paraId="3CA553C4"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0AF775C0"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526D0D55" w14:textId="48291B45"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Form B</w:t>
            </w:r>
            <w:r w:rsidR="002D42D7">
              <w:rPr>
                <w:rFonts w:ascii="Arial" w:eastAsia="Times New Roman" w:hAnsi="Arial" w:cs="Arial"/>
                <w:color w:val="000000"/>
                <w:kern w:val="0"/>
                <w:sz w:val="22"/>
                <w:szCs w:val="22"/>
                <w14:ligatures w14:val="none"/>
              </w:rPr>
              <w:t>:  Compost Cost Invoice Summary</w:t>
            </w:r>
            <w:r w:rsidRPr="00C650D8">
              <w:rPr>
                <w:rFonts w:ascii="Arial" w:eastAsia="Times New Roman" w:hAnsi="Arial" w:cs="Arial"/>
                <w:color w:val="000000"/>
                <w:kern w:val="0"/>
                <w:sz w:val="22"/>
                <w:szCs w:val="22"/>
                <w14:ligatures w14:val="none"/>
              </w:rPr>
              <w:t>.</w:t>
            </w:r>
          </w:p>
        </w:tc>
      </w:tr>
      <w:tr w:rsidR="000B09E4" w:rsidRPr="00C650D8" w14:paraId="32707525"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2D8B5089"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nil"/>
              <w:right w:val="single" w:sz="8" w:space="0" w:color="auto"/>
            </w:tcBorders>
            <w:vAlign w:val="center"/>
            <w:hideMark/>
          </w:tcPr>
          <w:p w14:paraId="549D5270"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W-9 Form.</w:t>
            </w:r>
          </w:p>
        </w:tc>
      </w:tr>
      <w:tr w:rsidR="000B09E4" w:rsidRPr="00C650D8" w14:paraId="3170A332"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0067F95A"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single" w:sz="4" w:space="0" w:color="auto"/>
              <w:left w:val="single" w:sz="8" w:space="0" w:color="auto"/>
              <w:bottom w:val="nil"/>
              <w:right w:val="single" w:sz="8" w:space="0" w:color="auto"/>
            </w:tcBorders>
            <w:vAlign w:val="center"/>
            <w:hideMark/>
          </w:tcPr>
          <w:p w14:paraId="2FD5A03A"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Hawai‘i Compliance Express, HI Tax Clearance or DCCA Certificate of Good Standing </w:t>
            </w:r>
          </w:p>
        </w:tc>
      </w:tr>
      <w:tr w:rsidR="000B09E4" w:rsidRPr="00C650D8" w14:paraId="7E0CC045"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49317A06"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nil"/>
              <w:right w:val="single" w:sz="8" w:space="0" w:color="auto"/>
            </w:tcBorders>
            <w:vAlign w:val="center"/>
            <w:hideMark/>
          </w:tcPr>
          <w:p w14:paraId="0A230F40"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For reimbursement check amount greater than or equal to $2,500</w:t>
            </w:r>
          </w:p>
        </w:tc>
      </w:tr>
      <w:tr w:rsidR="000B09E4" w:rsidRPr="00C650D8" w14:paraId="4916E720"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4A3915D8"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0B07E633"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https://vendors.ehawaii.gov/hce/</w:t>
            </w:r>
          </w:p>
        </w:tc>
      </w:tr>
      <w:tr w:rsidR="000B09E4" w:rsidRPr="00C650D8" w14:paraId="779C34A8"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0EADA419"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367D1505"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C-27 Landscaping Contractor License, if a Landscape Contractor.</w:t>
            </w:r>
          </w:p>
        </w:tc>
      </w:tr>
      <w:tr w:rsidR="000B09E4" w:rsidRPr="00C650D8" w14:paraId="6AB25066" w14:textId="77777777" w:rsidTr="00243AAD">
        <w:trPr>
          <w:trHeight w:val="300"/>
        </w:trPr>
        <w:tc>
          <w:tcPr>
            <w:tcW w:w="1880" w:type="dxa"/>
            <w:vMerge/>
            <w:tcBorders>
              <w:top w:val="nil"/>
              <w:left w:val="single" w:sz="8" w:space="0" w:color="auto"/>
              <w:bottom w:val="single" w:sz="4" w:space="0" w:color="auto"/>
              <w:right w:val="nil"/>
            </w:tcBorders>
            <w:vAlign w:val="center"/>
            <w:hideMark/>
          </w:tcPr>
          <w:p w14:paraId="3E9D1B0D"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2C238BAE"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Narrative of Farming or Landscaping Operations.</w:t>
            </w:r>
          </w:p>
        </w:tc>
      </w:tr>
      <w:tr w:rsidR="000B09E4" w:rsidRPr="00C650D8" w14:paraId="68FAA203" w14:textId="77777777" w:rsidTr="008D1319">
        <w:trPr>
          <w:trHeight w:val="1115"/>
        </w:trPr>
        <w:tc>
          <w:tcPr>
            <w:tcW w:w="1880" w:type="dxa"/>
            <w:vMerge/>
            <w:tcBorders>
              <w:top w:val="nil"/>
              <w:left w:val="single" w:sz="8" w:space="0" w:color="auto"/>
              <w:bottom w:val="single" w:sz="4" w:space="0" w:color="auto"/>
              <w:right w:val="nil"/>
            </w:tcBorders>
            <w:vAlign w:val="center"/>
            <w:hideMark/>
          </w:tcPr>
          <w:p w14:paraId="55C3501D"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40E55A6D" w14:textId="43C9B880" w:rsidR="000B09E4"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Compost Invoices issued by permitted Department of Health compost processor(s) or distributor(s) </w:t>
            </w:r>
            <w:r w:rsidR="008F3ACB">
              <w:rPr>
                <w:rFonts w:ascii="Arial" w:eastAsia="Times New Roman" w:hAnsi="Arial" w:cs="Arial"/>
                <w:color w:val="000000"/>
                <w:kern w:val="0"/>
                <w:sz w:val="22"/>
                <w:szCs w:val="22"/>
                <w14:ligatures w14:val="none"/>
              </w:rPr>
              <w:t>within the following period</w:t>
            </w:r>
            <w:r w:rsidRPr="00C650D8">
              <w:rPr>
                <w:rFonts w:ascii="Arial" w:eastAsia="Times New Roman" w:hAnsi="Arial" w:cs="Arial"/>
                <w:color w:val="000000"/>
                <w:kern w:val="0"/>
                <w:sz w:val="22"/>
                <w:szCs w:val="22"/>
                <w14:ligatures w14:val="none"/>
              </w:rPr>
              <w:t>:</w:t>
            </w:r>
          </w:p>
          <w:p w14:paraId="39CAE509" w14:textId="77777777" w:rsidR="000B09E4" w:rsidRPr="007D75B6" w:rsidRDefault="000B09E4" w:rsidP="00243AAD">
            <w:pPr>
              <w:spacing w:after="0" w:line="240" w:lineRule="auto"/>
              <w:rPr>
                <w:rFonts w:ascii="Arial" w:eastAsia="Times New Roman" w:hAnsi="Arial" w:cs="Arial"/>
                <w:color w:val="000000"/>
                <w:kern w:val="0"/>
                <w:sz w:val="8"/>
                <w:szCs w:val="8"/>
                <w14:ligatures w14:val="none"/>
              </w:rPr>
            </w:pPr>
          </w:p>
          <w:p w14:paraId="6E16A7E6" w14:textId="17CE5548" w:rsidR="000B09E4" w:rsidRDefault="000B09E4" w:rsidP="002D42D7">
            <w:pPr>
              <w:spacing w:after="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 </w:t>
            </w:r>
            <w:r w:rsidRPr="00C650D8">
              <w:rPr>
                <w:rFonts w:ascii="Arial" w:eastAsia="Times New Roman" w:hAnsi="Arial" w:cs="Arial"/>
                <w:b/>
                <w:bCs/>
                <w:color w:val="000000"/>
                <w:kern w:val="0"/>
                <w:sz w:val="22"/>
                <w:szCs w:val="22"/>
                <w14:ligatures w14:val="none"/>
              </w:rPr>
              <w:t xml:space="preserve">July 1, </w:t>
            </w:r>
            <w:proofErr w:type="gramStart"/>
            <w:r w:rsidRPr="00C650D8">
              <w:rPr>
                <w:rFonts w:ascii="Arial" w:eastAsia="Times New Roman" w:hAnsi="Arial" w:cs="Arial"/>
                <w:b/>
                <w:bCs/>
                <w:color w:val="000000"/>
                <w:kern w:val="0"/>
                <w:sz w:val="22"/>
                <w:szCs w:val="22"/>
                <w14:ligatures w14:val="none"/>
              </w:rPr>
              <w:t>2025</w:t>
            </w:r>
            <w:proofErr w:type="gramEnd"/>
            <w:r w:rsidRPr="00C650D8">
              <w:rPr>
                <w:rFonts w:ascii="Arial" w:eastAsia="Times New Roman" w:hAnsi="Arial" w:cs="Arial"/>
                <w:b/>
                <w:bCs/>
                <w:color w:val="000000"/>
                <w:kern w:val="0"/>
                <w:sz w:val="22"/>
                <w:szCs w:val="22"/>
                <w14:ligatures w14:val="none"/>
              </w:rPr>
              <w:t xml:space="preserve"> through May 1, 2026</w:t>
            </w:r>
            <w:r w:rsidR="002D42D7">
              <w:rPr>
                <w:rFonts w:ascii="Arial" w:eastAsia="Times New Roman" w:hAnsi="Arial" w:cs="Arial"/>
                <w:b/>
                <w:bCs/>
                <w:color w:val="000000"/>
                <w:kern w:val="0"/>
                <w:sz w:val="22"/>
                <w:szCs w:val="22"/>
                <w14:ligatures w14:val="none"/>
              </w:rPr>
              <w:t>.</w:t>
            </w:r>
          </w:p>
          <w:p w14:paraId="76342228" w14:textId="77777777" w:rsidR="000B09E4" w:rsidRPr="007D75B6" w:rsidRDefault="000B09E4" w:rsidP="00243AAD">
            <w:pPr>
              <w:spacing w:after="0" w:line="240" w:lineRule="auto"/>
              <w:rPr>
                <w:rFonts w:ascii="Arial" w:eastAsia="Times New Roman" w:hAnsi="Arial" w:cs="Arial"/>
                <w:b/>
                <w:bCs/>
                <w:color w:val="000000"/>
                <w:kern w:val="0"/>
                <w:sz w:val="8"/>
                <w:szCs w:val="8"/>
                <w14:ligatures w14:val="none"/>
              </w:rPr>
            </w:pPr>
          </w:p>
          <w:p w14:paraId="490F3F42"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r>
      <w:tr w:rsidR="000B09E4" w:rsidRPr="00C650D8" w14:paraId="3DBDAB00" w14:textId="77777777" w:rsidTr="00C173CF">
        <w:trPr>
          <w:trHeight w:val="360"/>
        </w:trPr>
        <w:tc>
          <w:tcPr>
            <w:tcW w:w="1880" w:type="dxa"/>
            <w:vMerge/>
            <w:tcBorders>
              <w:top w:val="nil"/>
              <w:left w:val="single" w:sz="8" w:space="0" w:color="auto"/>
              <w:bottom w:val="single" w:sz="8" w:space="0" w:color="auto"/>
              <w:right w:val="nil"/>
            </w:tcBorders>
            <w:vAlign w:val="center"/>
            <w:hideMark/>
          </w:tcPr>
          <w:p w14:paraId="72264187"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nil"/>
              <w:left w:val="single" w:sz="8" w:space="0" w:color="auto"/>
              <w:bottom w:val="single" w:sz="4" w:space="0" w:color="auto"/>
              <w:right w:val="single" w:sz="8" w:space="0" w:color="auto"/>
            </w:tcBorders>
            <w:vAlign w:val="center"/>
            <w:hideMark/>
          </w:tcPr>
          <w:p w14:paraId="40ACBC39" w14:textId="41016BE6" w:rsidR="006D1929" w:rsidRPr="00C650D8" w:rsidRDefault="000B09E4" w:rsidP="00F0765C">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Accompanying documents as required.</w:t>
            </w:r>
          </w:p>
        </w:tc>
      </w:tr>
      <w:tr w:rsidR="000B09E4" w:rsidRPr="00C650D8" w14:paraId="5C23DF54" w14:textId="77777777" w:rsidTr="00C173CF">
        <w:trPr>
          <w:trHeight w:val="2402"/>
        </w:trPr>
        <w:tc>
          <w:tcPr>
            <w:tcW w:w="1880" w:type="dxa"/>
            <w:vMerge w:val="restart"/>
            <w:tcBorders>
              <w:top w:val="single" w:sz="8" w:space="0" w:color="auto"/>
              <w:left w:val="single" w:sz="8" w:space="0" w:color="auto"/>
              <w:right w:val="nil"/>
            </w:tcBorders>
            <w:vAlign w:val="center"/>
            <w:hideMark/>
          </w:tcPr>
          <w:p w14:paraId="3056061A"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Program Processor or Reseller Qualifications</w:t>
            </w:r>
          </w:p>
        </w:tc>
        <w:tc>
          <w:tcPr>
            <w:tcW w:w="8910" w:type="dxa"/>
            <w:tcBorders>
              <w:top w:val="nil"/>
              <w:left w:val="single" w:sz="8" w:space="0" w:color="auto"/>
              <w:bottom w:val="nil"/>
              <w:right w:val="single" w:sz="8" w:space="0" w:color="auto"/>
            </w:tcBorders>
            <w:vAlign w:val="center"/>
            <w:hideMark/>
          </w:tcPr>
          <w:p w14:paraId="6F34EAE2" w14:textId="38824563"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Compost must be purchased from a permitted processor, dealer, retailer, or wholesaler licensed to do business in the State. Compost, per </w:t>
            </w:r>
            <w:r w:rsidR="008F3ACB">
              <w:rPr>
                <w:rFonts w:ascii="Arial" w:eastAsia="Times New Roman" w:hAnsi="Arial" w:cs="Arial"/>
                <w:color w:val="000000"/>
                <w:kern w:val="0"/>
                <w:sz w:val="22"/>
                <w:szCs w:val="22"/>
                <w14:ligatures w14:val="none"/>
              </w:rPr>
              <w:t>S</w:t>
            </w:r>
            <w:r w:rsidR="002D42D7">
              <w:rPr>
                <w:rFonts w:ascii="Arial" w:eastAsia="Times New Roman" w:hAnsi="Arial" w:cs="Arial"/>
                <w:color w:val="000000"/>
                <w:kern w:val="0"/>
                <w:sz w:val="22"/>
                <w:szCs w:val="22"/>
                <w14:ligatures w14:val="none"/>
              </w:rPr>
              <w:t xml:space="preserve">ection </w:t>
            </w:r>
            <w:r w:rsidR="002D42D7" w:rsidRPr="00C650D8">
              <w:rPr>
                <w:rFonts w:ascii="Arial" w:eastAsia="Times New Roman" w:hAnsi="Arial" w:cs="Arial"/>
                <w:color w:val="000000"/>
                <w:kern w:val="0"/>
                <w:sz w:val="22"/>
                <w:szCs w:val="22"/>
                <w14:ligatures w14:val="none"/>
              </w:rPr>
              <w:t>1</w:t>
            </w:r>
            <w:r w:rsidR="002D42D7">
              <w:rPr>
                <w:rFonts w:ascii="Arial" w:eastAsia="Times New Roman" w:hAnsi="Arial" w:cs="Arial"/>
                <w:color w:val="000000"/>
                <w:kern w:val="0"/>
                <w:sz w:val="22"/>
                <w:szCs w:val="22"/>
                <w14:ligatures w14:val="none"/>
              </w:rPr>
              <w:t>41-1</w:t>
            </w:r>
            <w:r w:rsidR="002D42D7" w:rsidRPr="00C650D8">
              <w:rPr>
                <w:rFonts w:ascii="Arial" w:eastAsia="Times New Roman" w:hAnsi="Arial" w:cs="Arial"/>
                <w:color w:val="000000"/>
                <w:kern w:val="0"/>
                <w:sz w:val="22"/>
                <w:szCs w:val="22"/>
                <w14:ligatures w14:val="none"/>
              </w:rPr>
              <w:t>6</w:t>
            </w:r>
            <w:r w:rsidR="002D42D7">
              <w:rPr>
                <w:rFonts w:ascii="Arial" w:eastAsia="Times New Roman" w:hAnsi="Arial" w:cs="Arial"/>
                <w:color w:val="000000"/>
                <w:kern w:val="0"/>
                <w:sz w:val="22"/>
                <w:szCs w:val="22"/>
                <w14:ligatures w14:val="none"/>
              </w:rPr>
              <w:t xml:space="preserve">(j) of </w:t>
            </w:r>
            <w:proofErr w:type="gramStart"/>
            <w:r w:rsidR="002D42D7" w:rsidRPr="00C650D8">
              <w:rPr>
                <w:rFonts w:ascii="Arial" w:eastAsia="Times New Roman" w:hAnsi="Arial" w:cs="Arial"/>
                <w:i/>
                <w:iCs/>
                <w:color w:val="000000"/>
                <w:kern w:val="0"/>
                <w:sz w:val="22"/>
                <w:szCs w:val="22"/>
                <w14:ligatures w14:val="none"/>
              </w:rPr>
              <w:t>Hawai‘</w:t>
            </w:r>
            <w:proofErr w:type="gramEnd"/>
            <w:r w:rsidR="002D42D7" w:rsidRPr="00C650D8">
              <w:rPr>
                <w:rFonts w:ascii="Arial" w:eastAsia="Times New Roman" w:hAnsi="Arial" w:cs="Arial"/>
                <w:i/>
                <w:iCs/>
                <w:color w:val="000000"/>
                <w:kern w:val="0"/>
                <w:sz w:val="22"/>
                <w:szCs w:val="22"/>
                <w14:ligatures w14:val="none"/>
              </w:rPr>
              <w:t>i Revised Statutes</w:t>
            </w:r>
            <w:r w:rsidRPr="00C650D8">
              <w:rPr>
                <w:rFonts w:ascii="Arial" w:eastAsia="Times New Roman" w:hAnsi="Arial" w:cs="Arial"/>
                <w:color w:val="000000"/>
                <w:kern w:val="0"/>
                <w:sz w:val="22"/>
                <w:szCs w:val="22"/>
                <w14:ligatures w14:val="none"/>
              </w:rPr>
              <w:t>, means the product of a composting process, including the receipt of materials, primary processing, decompos</w:t>
            </w:r>
            <w:r w:rsidR="002D42D7">
              <w:rPr>
                <w:rFonts w:ascii="Arial" w:eastAsia="Times New Roman" w:hAnsi="Arial" w:cs="Arial"/>
                <w:color w:val="000000"/>
                <w:kern w:val="0"/>
                <w:sz w:val="22"/>
                <w:szCs w:val="22"/>
                <w14:ligatures w14:val="none"/>
              </w:rPr>
              <w:t>ition</w:t>
            </w:r>
            <w:r w:rsidRPr="00C650D8">
              <w:rPr>
                <w:rFonts w:ascii="Arial" w:eastAsia="Times New Roman" w:hAnsi="Arial" w:cs="Arial"/>
                <w:color w:val="000000"/>
                <w:kern w:val="0"/>
                <w:sz w:val="22"/>
                <w:szCs w:val="22"/>
                <w14:ligatures w14:val="none"/>
              </w:rPr>
              <w:t xml:space="preserve"> activities, and final processing for sale and marketing, in which organic materials are biologically decomposed under controlled conditions to produce </w:t>
            </w:r>
            <w:r w:rsidR="002D42D7">
              <w:rPr>
                <w:rFonts w:ascii="Arial" w:eastAsia="Times New Roman" w:hAnsi="Arial" w:cs="Arial"/>
                <w:color w:val="000000"/>
                <w:kern w:val="0"/>
                <w:sz w:val="22"/>
                <w:szCs w:val="22"/>
                <w14:ligatures w14:val="none"/>
              </w:rPr>
              <w:t xml:space="preserve">a </w:t>
            </w:r>
            <w:r w:rsidRPr="00C650D8">
              <w:rPr>
                <w:rFonts w:ascii="Arial" w:eastAsia="Times New Roman" w:hAnsi="Arial" w:cs="Arial"/>
                <w:color w:val="000000"/>
                <w:kern w:val="0"/>
                <w:sz w:val="22"/>
                <w:szCs w:val="22"/>
                <w14:ligatures w14:val="none"/>
              </w:rPr>
              <w:t>stable</w:t>
            </w:r>
            <w:r w:rsidR="002D42D7">
              <w:rPr>
                <w:rFonts w:ascii="Arial" w:eastAsia="Times New Roman" w:hAnsi="Arial" w:cs="Arial"/>
                <w:color w:val="000000"/>
                <w:kern w:val="0"/>
                <w:sz w:val="22"/>
                <w:szCs w:val="22"/>
                <w14:ligatures w14:val="none"/>
              </w:rPr>
              <w:t>, humus-like mulch or</w:t>
            </w:r>
            <w:r w:rsidRPr="00C650D8">
              <w:rPr>
                <w:rFonts w:ascii="Arial" w:eastAsia="Times New Roman" w:hAnsi="Arial" w:cs="Arial"/>
                <w:color w:val="000000"/>
                <w:kern w:val="0"/>
                <w:sz w:val="22"/>
                <w:szCs w:val="22"/>
                <w14:ligatures w14:val="none"/>
              </w:rPr>
              <w:t xml:space="preserve"> soil amendment. Organic materials (per </w:t>
            </w:r>
            <w:r w:rsidR="008F3ACB">
              <w:rPr>
                <w:rFonts w:ascii="Arial" w:eastAsia="Times New Roman" w:hAnsi="Arial" w:cs="Arial"/>
                <w:color w:val="000000"/>
                <w:kern w:val="0"/>
                <w:sz w:val="22"/>
                <w:szCs w:val="22"/>
                <w14:ligatures w14:val="none"/>
              </w:rPr>
              <w:t xml:space="preserve">Section </w:t>
            </w:r>
            <w:r w:rsidR="008F3ACB" w:rsidRPr="00C650D8">
              <w:rPr>
                <w:rFonts w:ascii="Arial" w:eastAsia="Times New Roman" w:hAnsi="Arial" w:cs="Arial"/>
                <w:color w:val="000000"/>
                <w:kern w:val="0"/>
                <w:sz w:val="22"/>
                <w:szCs w:val="22"/>
                <w14:ligatures w14:val="none"/>
              </w:rPr>
              <w:t>1</w:t>
            </w:r>
            <w:r w:rsidR="008F3ACB">
              <w:rPr>
                <w:rFonts w:ascii="Arial" w:eastAsia="Times New Roman" w:hAnsi="Arial" w:cs="Arial"/>
                <w:color w:val="000000"/>
                <w:kern w:val="0"/>
                <w:sz w:val="22"/>
                <w:szCs w:val="22"/>
                <w14:ligatures w14:val="none"/>
              </w:rPr>
              <w:t>41-1</w:t>
            </w:r>
            <w:r w:rsidR="008F3ACB" w:rsidRPr="00C650D8">
              <w:rPr>
                <w:rFonts w:ascii="Arial" w:eastAsia="Times New Roman" w:hAnsi="Arial" w:cs="Arial"/>
                <w:color w:val="000000"/>
                <w:kern w:val="0"/>
                <w:sz w:val="22"/>
                <w:szCs w:val="22"/>
                <w14:ligatures w14:val="none"/>
              </w:rPr>
              <w:t>6</w:t>
            </w:r>
            <w:r w:rsidR="008F3ACB">
              <w:rPr>
                <w:rFonts w:ascii="Arial" w:eastAsia="Times New Roman" w:hAnsi="Arial" w:cs="Arial"/>
                <w:color w:val="000000"/>
                <w:kern w:val="0"/>
                <w:sz w:val="22"/>
                <w:szCs w:val="22"/>
                <w14:ligatures w14:val="none"/>
              </w:rPr>
              <w:t xml:space="preserve">(j) of </w:t>
            </w:r>
            <w:proofErr w:type="gramStart"/>
            <w:r w:rsidR="008F3ACB" w:rsidRPr="00C650D8">
              <w:rPr>
                <w:rFonts w:ascii="Arial" w:eastAsia="Times New Roman" w:hAnsi="Arial" w:cs="Arial"/>
                <w:i/>
                <w:iCs/>
                <w:color w:val="000000"/>
                <w:kern w:val="0"/>
                <w:sz w:val="22"/>
                <w:szCs w:val="22"/>
                <w14:ligatures w14:val="none"/>
              </w:rPr>
              <w:t>Hawai‘</w:t>
            </w:r>
            <w:proofErr w:type="gramEnd"/>
            <w:r w:rsidR="008F3ACB" w:rsidRPr="00C650D8">
              <w:rPr>
                <w:rFonts w:ascii="Arial" w:eastAsia="Times New Roman" w:hAnsi="Arial" w:cs="Arial"/>
                <w:i/>
                <w:iCs/>
                <w:color w:val="000000"/>
                <w:kern w:val="0"/>
                <w:sz w:val="22"/>
                <w:szCs w:val="22"/>
                <w14:ligatures w14:val="none"/>
              </w:rPr>
              <w:t>i Revised Statutes</w:t>
            </w:r>
            <w:r w:rsidRPr="00C650D8">
              <w:rPr>
                <w:rFonts w:ascii="Arial" w:eastAsia="Times New Roman" w:hAnsi="Arial" w:cs="Arial"/>
                <w:color w:val="000000"/>
                <w:kern w:val="0"/>
                <w:sz w:val="22"/>
                <w:szCs w:val="22"/>
                <w14:ligatures w14:val="none"/>
              </w:rPr>
              <w:t>) include pre- and post-consumer food waste, waste from animal food processing operations</w:t>
            </w:r>
            <w:r w:rsidR="008F3ACB">
              <w:rPr>
                <w:rFonts w:ascii="Arial" w:eastAsia="Times New Roman" w:hAnsi="Arial" w:cs="Arial"/>
                <w:color w:val="000000"/>
                <w:kern w:val="0"/>
                <w:sz w:val="22"/>
                <w:szCs w:val="22"/>
                <w14:ligatures w14:val="none"/>
              </w:rPr>
              <w:t>, green waste, crop residues, and waste from vegetable food processing operations</w:t>
            </w:r>
            <w:r w:rsidRPr="00C650D8">
              <w:rPr>
                <w:rFonts w:ascii="Arial" w:eastAsia="Times New Roman" w:hAnsi="Arial" w:cs="Arial"/>
                <w:color w:val="000000"/>
                <w:kern w:val="0"/>
                <w:sz w:val="22"/>
                <w:szCs w:val="22"/>
                <w14:ligatures w14:val="none"/>
              </w:rPr>
              <w:t xml:space="preserve"> and similar materials.</w:t>
            </w:r>
          </w:p>
        </w:tc>
      </w:tr>
      <w:tr w:rsidR="000B09E4" w:rsidRPr="00C650D8" w14:paraId="64144E44" w14:textId="77777777" w:rsidTr="00900965">
        <w:trPr>
          <w:trHeight w:val="710"/>
        </w:trPr>
        <w:tc>
          <w:tcPr>
            <w:tcW w:w="1880" w:type="dxa"/>
            <w:vMerge/>
            <w:tcBorders>
              <w:top w:val="nil"/>
              <w:left w:val="single" w:sz="8" w:space="0" w:color="auto"/>
              <w:right w:val="nil"/>
            </w:tcBorders>
            <w:vAlign w:val="center"/>
            <w:hideMark/>
          </w:tcPr>
          <w:p w14:paraId="673B83D6"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single" w:sz="4" w:space="0" w:color="auto"/>
              <w:left w:val="single" w:sz="8" w:space="0" w:color="auto"/>
              <w:bottom w:val="single" w:sz="8" w:space="0" w:color="auto"/>
              <w:right w:val="single" w:sz="8" w:space="0" w:color="auto"/>
            </w:tcBorders>
            <w:vAlign w:val="center"/>
            <w:hideMark/>
          </w:tcPr>
          <w:p w14:paraId="713D9F47"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Hawai‘i Compost Processors will be limited to those companies regulated under the Department of Health Solid Waste Management Program.</w:t>
            </w:r>
          </w:p>
        </w:tc>
      </w:tr>
      <w:tr w:rsidR="000B09E4" w:rsidRPr="00C650D8" w14:paraId="411E7D8F" w14:textId="77777777" w:rsidTr="00900965">
        <w:trPr>
          <w:trHeight w:val="422"/>
        </w:trPr>
        <w:tc>
          <w:tcPr>
            <w:tcW w:w="1880" w:type="dxa"/>
            <w:vMerge/>
            <w:tcBorders>
              <w:top w:val="nil"/>
              <w:left w:val="single" w:sz="8" w:space="0" w:color="auto"/>
              <w:bottom w:val="single" w:sz="8" w:space="0" w:color="auto"/>
              <w:right w:val="nil"/>
            </w:tcBorders>
            <w:vAlign w:val="center"/>
            <w:hideMark/>
          </w:tcPr>
          <w:p w14:paraId="7A0B810F"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p>
        </w:tc>
        <w:tc>
          <w:tcPr>
            <w:tcW w:w="8910" w:type="dxa"/>
            <w:tcBorders>
              <w:top w:val="single" w:sz="8" w:space="0" w:color="auto"/>
              <w:left w:val="single" w:sz="8" w:space="0" w:color="auto"/>
              <w:bottom w:val="single" w:sz="8" w:space="0" w:color="auto"/>
              <w:right w:val="single" w:sz="8" w:space="0" w:color="auto"/>
            </w:tcBorders>
            <w:vAlign w:val="center"/>
            <w:hideMark/>
          </w:tcPr>
          <w:p w14:paraId="26630E0B"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Mulch is not included in this program.</w:t>
            </w:r>
          </w:p>
        </w:tc>
      </w:tr>
      <w:tr w:rsidR="009C4BB3" w:rsidRPr="00C650D8" w14:paraId="5BA1D715" w14:textId="77777777" w:rsidTr="00900965">
        <w:trPr>
          <w:trHeight w:val="881"/>
        </w:trPr>
        <w:tc>
          <w:tcPr>
            <w:tcW w:w="1880" w:type="dxa"/>
            <w:vMerge w:val="restart"/>
            <w:tcBorders>
              <w:top w:val="single" w:sz="8" w:space="0" w:color="auto"/>
              <w:left w:val="single" w:sz="8" w:space="0" w:color="auto"/>
              <w:bottom w:val="single" w:sz="8" w:space="0" w:color="000000"/>
              <w:right w:val="nil"/>
            </w:tcBorders>
            <w:vAlign w:val="center"/>
            <w:hideMark/>
          </w:tcPr>
          <w:p w14:paraId="49C3AE51" w14:textId="61535481" w:rsidR="009C4BB3" w:rsidRPr="00C650D8" w:rsidRDefault="009C4BB3"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lastRenderedPageBreak/>
              <w:t>Compost Reimbursement Rate</w:t>
            </w:r>
            <w:r>
              <w:rPr>
                <w:rFonts w:ascii="Arial" w:eastAsia="Times New Roman" w:hAnsi="Arial" w:cs="Arial"/>
                <w:color w:val="000000"/>
                <w:kern w:val="0"/>
                <w:sz w:val="22"/>
                <w:szCs w:val="22"/>
                <w14:ligatures w14:val="none"/>
              </w:rPr>
              <w:t xml:space="preserve"> and Limit</w:t>
            </w:r>
          </w:p>
        </w:tc>
        <w:tc>
          <w:tcPr>
            <w:tcW w:w="8910" w:type="dxa"/>
            <w:tcBorders>
              <w:top w:val="single" w:sz="8" w:space="0" w:color="auto"/>
              <w:left w:val="single" w:sz="8" w:space="0" w:color="auto"/>
              <w:bottom w:val="nil"/>
              <w:right w:val="single" w:sz="8" w:space="0" w:color="auto"/>
            </w:tcBorders>
            <w:vAlign w:val="center"/>
            <w:hideMark/>
          </w:tcPr>
          <w:p w14:paraId="73032B52" w14:textId="61C622F6" w:rsidR="009C4BB3" w:rsidRPr="00C650D8" w:rsidRDefault="009C4BB3"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R</w:t>
            </w:r>
            <w:r w:rsidRPr="00C650D8">
              <w:rPr>
                <w:rFonts w:ascii="Arial" w:eastAsia="Times New Roman" w:hAnsi="Arial" w:cs="Arial"/>
                <w:color w:val="000000"/>
                <w:kern w:val="0"/>
                <w:sz w:val="22"/>
                <w:szCs w:val="22"/>
                <w14:ligatures w14:val="none"/>
              </w:rPr>
              <w:t xml:space="preserve">eimbursement </w:t>
            </w:r>
            <w:r>
              <w:rPr>
                <w:rFonts w:ascii="Arial" w:eastAsia="Times New Roman" w:hAnsi="Arial" w:cs="Arial"/>
                <w:color w:val="000000"/>
                <w:kern w:val="0"/>
                <w:sz w:val="22"/>
                <w:szCs w:val="22"/>
                <w14:ligatures w14:val="none"/>
              </w:rPr>
              <w:t xml:space="preserve">amount </w:t>
            </w:r>
            <w:r w:rsidRPr="00C650D8">
              <w:rPr>
                <w:rFonts w:ascii="Arial" w:eastAsia="Times New Roman" w:hAnsi="Arial" w:cs="Arial"/>
                <w:color w:val="000000"/>
                <w:kern w:val="0"/>
                <w:sz w:val="22"/>
                <w:szCs w:val="22"/>
                <w14:ligatures w14:val="none"/>
              </w:rPr>
              <w:t xml:space="preserve">will be up to </w:t>
            </w:r>
            <w:r w:rsidRPr="00C650D8">
              <w:rPr>
                <w:rFonts w:ascii="Arial" w:eastAsia="Times New Roman" w:hAnsi="Arial" w:cs="Arial"/>
                <w:b/>
                <w:bCs/>
                <w:color w:val="000000"/>
                <w:kern w:val="0"/>
                <w:sz w:val="22"/>
                <w:szCs w:val="22"/>
                <w14:ligatures w14:val="none"/>
              </w:rPr>
              <w:t>50%</w:t>
            </w:r>
            <w:r w:rsidRPr="00C650D8">
              <w:rPr>
                <w:rFonts w:ascii="Arial" w:eastAsia="Times New Roman" w:hAnsi="Arial" w:cs="Arial"/>
                <w:color w:val="000000"/>
                <w:kern w:val="0"/>
                <w:sz w:val="22"/>
                <w:szCs w:val="22"/>
                <w14:ligatures w14:val="none"/>
              </w:rPr>
              <w:t xml:space="preserve"> of the qualified compost purchase cost, including transportation cost. Invoices must show the "compost only" cost breakdown for purchases from a Hawai‘i Permitted Compost processor or distributor.</w:t>
            </w:r>
          </w:p>
        </w:tc>
      </w:tr>
      <w:tr w:rsidR="009C4BB3" w:rsidRPr="00C650D8" w14:paraId="7765D7E3" w14:textId="77777777" w:rsidTr="00C173CF">
        <w:trPr>
          <w:trHeight w:val="629"/>
        </w:trPr>
        <w:tc>
          <w:tcPr>
            <w:tcW w:w="1880" w:type="dxa"/>
            <w:vMerge/>
            <w:tcBorders>
              <w:left w:val="single" w:sz="8" w:space="0" w:color="auto"/>
              <w:bottom w:val="single" w:sz="8" w:space="0" w:color="000000"/>
              <w:right w:val="nil"/>
            </w:tcBorders>
            <w:vAlign w:val="center"/>
          </w:tcPr>
          <w:p w14:paraId="1782795D" w14:textId="77777777" w:rsidR="009C4BB3" w:rsidRPr="00C650D8" w:rsidRDefault="009C4BB3" w:rsidP="00243AAD">
            <w:pPr>
              <w:spacing w:after="0" w:line="240" w:lineRule="auto"/>
              <w:rPr>
                <w:rFonts w:ascii="Arial" w:eastAsia="Times New Roman" w:hAnsi="Arial" w:cs="Arial"/>
                <w:color w:val="000000"/>
                <w:kern w:val="0"/>
                <w:sz w:val="22"/>
                <w:szCs w:val="22"/>
                <w14:ligatures w14:val="none"/>
              </w:rPr>
            </w:pPr>
          </w:p>
        </w:tc>
        <w:tc>
          <w:tcPr>
            <w:tcW w:w="8910" w:type="dxa"/>
            <w:tcBorders>
              <w:top w:val="single" w:sz="4" w:space="0" w:color="auto"/>
              <w:left w:val="single" w:sz="8" w:space="0" w:color="auto"/>
              <w:bottom w:val="nil"/>
              <w:right w:val="single" w:sz="8" w:space="0" w:color="auto"/>
            </w:tcBorders>
            <w:vAlign w:val="center"/>
          </w:tcPr>
          <w:p w14:paraId="03769604" w14:textId="25842BFE" w:rsidR="009C4BB3" w:rsidRPr="00C650D8" w:rsidRDefault="009C4BB3" w:rsidP="00243AAD">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Total reimbursement amount will not exceed $50,000 per qualified purchaser per fiscal year.</w:t>
            </w:r>
          </w:p>
        </w:tc>
      </w:tr>
      <w:tr w:rsidR="009C4BB3" w:rsidRPr="00C650D8" w14:paraId="56733532" w14:textId="77777777" w:rsidTr="007A6BCA">
        <w:trPr>
          <w:trHeight w:val="943"/>
        </w:trPr>
        <w:tc>
          <w:tcPr>
            <w:tcW w:w="1880" w:type="dxa"/>
            <w:vMerge/>
            <w:tcBorders>
              <w:left w:val="single" w:sz="8" w:space="0" w:color="auto"/>
              <w:bottom w:val="single" w:sz="8" w:space="0" w:color="000000"/>
              <w:right w:val="nil"/>
            </w:tcBorders>
            <w:vAlign w:val="center"/>
          </w:tcPr>
          <w:p w14:paraId="191827C3" w14:textId="77777777" w:rsidR="009C4BB3" w:rsidRPr="00C650D8" w:rsidRDefault="009C4BB3" w:rsidP="00243AAD">
            <w:pPr>
              <w:spacing w:after="0" w:line="240" w:lineRule="auto"/>
              <w:rPr>
                <w:rFonts w:ascii="Arial" w:eastAsia="Times New Roman" w:hAnsi="Arial" w:cs="Arial"/>
                <w:color w:val="000000"/>
                <w:kern w:val="0"/>
                <w:sz w:val="22"/>
                <w:szCs w:val="22"/>
                <w14:ligatures w14:val="none"/>
              </w:rPr>
            </w:pPr>
          </w:p>
        </w:tc>
        <w:tc>
          <w:tcPr>
            <w:tcW w:w="8910" w:type="dxa"/>
            <w:tcBorders>
              <w:top w:val="single" w:sz="4" w:space="0" w:color="auto"/>
              <w:left w:val="single" w:sz="8" w:space="0" w:color="auto"/>
              <w:bottom w:val="nil"/>
              <w:right w:val="single" w:sz="8" w:space="0" w:color="auto"/>
            </w:tcBorders>
            <w:vAlign w:val="center"/>
          </w:tcPr>
          <w:p w14:paraId="4EBA26E6" w14:textId="44CE1D5F" w:rsidR="009C4BB3" w:rsidRPr="00C650D8" w:rsidRDefault="009C4BB3" w:rsidP="00243AAD">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8F3ACB">
              <w:rPr>
                <w:rFonts w:ascii="Arial" w:eastAsia="Times New Roman" w:hAnsi="Arial" w:cs="Arial"/>
                <w:color w:val="000000"/>
                <w:kern w:val="0"/>
                <w:sz w:val="22"/>
                <w:szCs w:val="22"/>
                <w14:ligatures w14:val="none"/>
              </w:rPr>
              <w:t>Funds</w:t>
            </w:r>
            <w:r>
              <w:rPr>
                <w:rFonts w:ascii="Arial" w:eastAsia="Times New Roman" w:hAnsi="Arial" w:cs="Arial"/>
                <w:color w:val="000000"/>
                <w:kern w:val="0"/>
                <w:sz w:val="22"/>
                <w:szCs w:val="22"/>
                <w14:ligatures w14:val="none"/>
              </w:rPr>
              <w:t xml:space="preserve"> will be dis</w:t>
            </w:r>
            <w:r w:rsidR="008F3ACB">
              <w:rPr>
                <w:rFonts w:ascii="Arial" w:eastAsia="Times New Roman" w:hAnsi="Arial" w:cs="Arial"/>
                <w:color w:val="000000"/>
                <w:kern w:val="0"/>
                <w:sz w:val="22"/>
                <w:szCs w:val="22"/>
                <w14:ligatures w14:val="none"/>
              </w:rPr>
              <w:t xml:space="preserve">bursed on an annual </w:t>
            </w:r>
            <w:r>
              <w:rPr>
                <w:rFonts w:ascii="Arial" w:eastAsia="Times New Roman" w:hAnsi="Arial" w:cs="Arial"/>
                <w:color w:val="000000"/>
                <w:kern w:val="0"/>
                <w:sz w:val="22"/>
                <w:szCs w:val="22"/>
                <w14:ligatures w14:val="none"/>
              </w:rPr>
              <w:t>basis.</w:t>
            </w:r>
            <w:r w:rsidR="007A6BCA">
              <w:rPr>
                <w:rFonts w:ascii="Arial" w:eastAsia="Times New Roman" w:hAnsi="Arial" w:cs="Arial"/>
                <w:color w:val="000000"/>
                <w:kern w:val="0"/>
                <w:sz w:val="22"/>
                <w:szCs w:val="22"/>
                <w14:ligatures w14:val="none"/>
              </w:rPr>
              <w:t xml:space="preserve"> Reimbursement amounts will be aggregated, divided, and distributed on a first-come, first-serve basis. Transportation costs are eligible for reimbursement.</w:t>
            </w:r>
          </w:p>
        </w:tc>
      </w:tr>
      <w:tr w:rsidR="000B09E4" w:rsidRPr="00C650D8" w14:paraId="7B78583F" w14:textId="77777777" w:rsidTr="00C173CF">
        <w:trPr>
          <w:trHeight w:val="845"/>
        </w:trPr>
        <w:tc>
          <w:tcPr>
            <w:tcW w:w="1880" w:type="dxa"/>
            <w:tcBorders>
              <w:top w:val="single" w:sz="8" w:space="0" w:color="000000"/>
              <w:left w:val="single" w:sz="8" w:space="0" w:color="auto"/>
              <w:bottom w:val="single" w:sz="4" w:space="0" w:color="auto"/>
              <w:right w:val="nil"/>
            </w:tcBorders>
            <w:vAlign w:val="center"/>
            <w:hideMark/>
          </w:tcPr>
          <w:p w14:paraId="6AC528DA" w14:textId="77777777"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Documentation</w:t>
            </w:r>
          </w:p>
        </w:tc>
        <w:tc>
          <w:tcPr>
            <w:tcW w:w="8910" w:type="dxa"/>
            <w:tcBorders>
              <w:top w:val="single" w:sz="4" w:space="0" w:color="auto"/>
              <w:left w:val="single" w:sz="8" w:space="0" w:color="auto"/>
              <w:bottom w:val="single" w:sz="4" w:space="0" w:color="auto"/>
              <w:right w:val="single" w:sz="8" w:space="0" w:color="auto"/>
            </w:tcBorders>
            <w:vAlign w:val="center"/>
            <w:hideMark/>
          </w:tcPr>
          <w:p w14:paraId="28BD2670" w14:textId="2CB181F8"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Compost Invoice(s) for compost purchased from</w:t>
            </w:r>
            <w:r w:rsidRPr="00C650D8">
              <w:rPr>
                <w:rFonts w:ascii="Arial" w:eastAsia="Times New Roman" w:hAnsi="Arial" w:cs="Arial"/>
                <w:color w:val="FF0000"/>
                <w:kern w:val="0"/>
                <w:sz w:val="22"/>
                <w:szCs w:val="22"/>
                <w14:ligatures w14:val="none"/>
              </w:rPr>
              <w:t xml:space="preserve"> permitted</w:t>
            </w:r>
            <w:r w:rsidRPr="00C650D8">
              <w:rPr>
                <w:rFonts w:ascii="Arial" w:eastAsia="Times New Roman" w:hAnsi="Arial" w:cs="Arial"/>
                <w:color w:val="000000"/>
                <w:kern w:val="0"/>
                <w:sz w:val="22"/>
                <w:szCs w:val="22"/>
                <w14:ligatures w14:val="none"/>
              </w:rPr>
              <w:t xml:space="preserve"> Department of Health compost processors or distributors. See State Requirement above for invoice </w:t>
            </w:r>
            <w:r w:rsidR="00094DFE" w:rsidRPr="00C650D8">
              <w:rPr>
                <w:rFonts w:ascii="Arial" w:eastAsia="Times New Roman" w:hAnsi="Arial" w:cs="Arial"/>
                <w:color w:val="000000"/>
                <w:kern w:val="0"/>
                <w:sz w:val="22"/>
                <w:szCs w:val="22"/>
                <w14:ligatures w14:val="none"/>
              </w:rPr>
              <w:t>requirements</w:t>
            </w:r>
            <w:r w:rsidRPr="00C650D8">
              <w:rPr>
                <w:rFonts w:ascii="Arial" w:eastAsia="Times New Roman" w:hAnsi="Arial" w:cs="Arial"/>
                <w:color w:val="000000"/>
                <w:kern w:val="0"/>
                <w:sz w:val="22"/>
                <w:szCs w:val="22"/>
                <w14:ligatures w14:val="none"/>
              </w:rPr>
              <w:t>.</w:t>
            </w:r>
          </w:p>
        </w:tc>
      </w:tr>
      <w:tr w:rsidR="000B09E4" w:rsidRPr="00C650D8" w14:paraId="40BC7D10" w14:textId="77777777" w:rsidTr="00164375">
        <w:trPr>
          <w:trHeight w:val="1817"/>
        </w:trPr>
        <w:tc>
          <w:tcPr>
            <w:tcW w:w="1880" w:type="dxa"/>
            <w:tcBorders>
              <w:top w:val="nil"/>
              <w:left w:val="single" w:sz="8" w:space="0" w:color="auto"/>
              <w:bottom w:val="nil"/>
              <w:right w:val="single" w:sz="8" w:space="0" w:color="auto"/>
            </w:tcBorders>
            <w:vAlign w:val="center"/>
            <w:hideMark/>
          </w:tcPr>
          <w:p w14:paraId="52DE669E" w14:textId="6B9BD364" w:rsidR="000B09E4" w:rsidRPr="00C650D8" w:rsidRDefault="000B09E4"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Due Date</w:t>
            </w:r>
            <w:r w:rsidR="00854DDE">
              <w:rPr>
                <w:rFonts w:ascii="Arial" w:eastAsia="Times New Roman" w:hAnsi="Arial" w:cs="Arial"/>
                <w:color w:val="000000"/>
                <w:kern w:val="0"/>
                <w:sz w:val="22"/>
                <w:szCs w:val="22"/>
                <w14:ligatures w14:val="none"/>
              </w:rPr>
              <w:t xml:space="preserve"> (for all required documents as listed in State Requirement above)</w:t>
            </w:r>
          </w:p>
        </w:tc>
        <w:tc>
          <w:tcPr>
            <w:tcW w:w="8910" w:type="dxa"/>
            <w:tcBorders>
              <w:top w:val="nil"/>
              <w:left w:val="nil"/>
              <w:bottom w:val="single" w:sz="4" w:space="0" w:color="auto"/>
              <w:right w:val="single" w:sz="8" w:space="0" w:color="auto"/>
            </w:tcBorders>
            <w:vAlign w:val="center"/>
            <w:hideMark/>
          </w:tcPr>
          <w:p w14:paraId="085E5A19" w14:textId="6190AEB1" w:rsidR="000B09E4" w:rsidRDefault="000B09E4" w:rsidP="00B91F71">
            <w:pPr>
              <w:spacing w:after="0" w:line="240" w:lineRule="auto"/>
              <w:rPr>
                <w:rFonts w:ascii="Arial" w:eastAsia="Times New Roman" w:hAnsi="Arial" w:cs="Arial"/>
                <w:b/>
                <w:bCs/>
                <w:color w:val="000000"/>
                <w:kern w:val="0"/>
                <w:sz w:val="22"/>
                <w:szCs w:val="22"/>
                <w14:ligatures w14:val="none"/>
              </w:rPr>
            </w:pPr>
            <w:r w:rsidRPr="00C650D8">
              <w:rPr>
                <w:rFonts w:ascii="Arial" w:eastAsia="Times New Roman" w:hAnsi="Arial" w:cs="Arial"/>
                <w:b/>
                <w:bCs/>
                <w:color w:val="000000"/>
                <w:kern w:val="0"/>
                <w:sz w:val="22"/>
                <w:szCs w:val="22"/>
                <w14:ligatures w14:val="none"/>
              </w:rPr>
              <w:t>*</w:t>
            </w:r>
            <w:r>
              <w:rPr>
                <w:rFonts w:ascii="Arial" w:eastAsia="Times New Roman" w:hAnsi="Arial" w:cs="Arial"/>
                <w:b/>
                <w:bCs/>
                <w:color w:val="000000"/>
                <w:kern w:val="0"/>
                <w:sz w:val="22"/>
                <w:szCs w:val="22"/>
                <w14:ligatures w14:val="none"/>
              </w:rPr>
              <w:t xml:space="preserve"> </w:t>
            </w:r>
            <w:r w:rsidRPr="00C650D8">
              <w:rPr>
                <w:rFonts w:ascii="Arial" w:eastAsia="Times New Roman" w:hAnsi="Arial" w:cs="Arial"/>
                <w:b/>
                <w:bCs/>
                <w:color w:val="000000"/>
                <w:kern w:val="0"/>
                <w:sz w:val="22"/>
                <w:szCs w:val="22"/>
                <w14:ligatures w14:val="none"/>
              </w:rPr>
              <w:t xml:space="preserve">May 1, 2026, 12:00 PM HST </w:t>
            </w:r>
          </w:p>
          <w:p w14:paraId="26B31F17" w14:textId="70B248B9" w:rsidR="000B09E4" w:rsidRPr="00C650D8" w:rsidRDefault="000B09E4" w:rsidP="00243AAD">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  </w:t>
            </w:r>
            <w:r w:rsidRPr="00C650D8">
              <w:rPr>
                <w:rFonts w:ascii="Arial" w:eastAsia="Times New Roman" w:hAnsi="Arial" w:cs="Arial"/>
                <w:b/>
                <w:bCs/>
                <w:color w:val="000000"/>
                <w:kern w:val="0"/>
                <w:sz w:val="22"/>
                <w:szCs w:val="22"/>
                <w14:ligatures w14:val="none"/>
              </w:rPr>
              <w:t>(</w:t>
            </w:r>
            <w:r w:rsidR="00B91F71" w:rsidRPr="00C650D8">
              <w:rPr>
                <w:rFonts w:ascii="Arial" w:eastAsia="Times New Roman" w:hAnsi="Arial" w:cs="Arial"/>
                <w:b/>
                <w:bCs/>
                <w:color w:val="000000"/>
                <w:kern w:val="0"/>
                <w:sz w:val="22"/>
                <w:szCs w:val="22"/>
                <w14:ligatures w14:val="none"/>
              </w:rPr>
              <w:t xml:space="preserve">July 1, </w:t>
            </w:r>
            <w:proofErr w:type="gramStart"/>
            <w:r w:rsidR="00B91F71" w:rsidRPr="00C650D8">
              <w:rPr>
                <w:rFonts w:ascii="Arial" w:eastAsia="Times New Roman" w:hAnsi="Arial" w:cs="Arial"/>
                <w:b/>
                <w:bCs/>
                <w:color w:val="000000"/>
                <w:kern w:val="0"/>
                <w:sz w:val="22"/>
                <w:szCs w:val="22"/>
                <w14:ligatures w14:val="none"/>
              </w:rPr>
              <w:t>2025</w:t>
            </w:r>
            <w:proofErr w:type="gramEnd"/>
            <w:r w:rsidR="00B91F71" w:rsidRPr="00C650D8">
              <w:rPr>
                <w:rFonts w:ascii="Arial" w:eastAsia="Times New Roman" w:hAnsi="Arial" w:cs="Arial"/>
                <w:b/>
                <w:bCs/>
                <w:color w:val="000000"/>
                <w:kern w:val="0"/>
                <w:sz w:val="22"/>
                <w:szCs w:val="22"/>
                <w14:ligatures w14:val="none"/>
              </w:rPr>
              <w:t xml:space="preserve"> </w:t>
            </w:r>
            <w:r w:rsidRPr="00C650D8">
              <w:rPr>
                <w:rFonts w:ascii="Arial" w:eastAsia="Times New Roman" w:hAnsi="Arial" w:cs="Arial"/>
                <w:b/>
                <w:bCs/>
                <w:color w:val="000000"/>
                <w:kern w:val="0"/>
                <w:sz w:val="22"/>
                <w:szCs w:val="22"/>
                <w14:ligatures w14:val="none"/>
              </w:rPr>
              <w:t>through May 1, 2026)</w:t>
            </w:r>
          </w:p>
        </w:tc>
      </w:tr>
      <w:tr w:rsidR="00854DDE" w:rsidRPr="00C650D8" w14:paraId="29CD4682" w14:textId="77777777" w:rsidTr="00C12099">
        <w:trPr>
          <w:trHeight w:val="899"/>
        </w:trPr>
        <w:tc>
          <w:tcPr>
            <w:tcW w:w="1880" w:type="dxa"/>
            <w:tcBorders>
              <w:top w:val="single" w:sz="4" w:space="0" w:color="auto"/>
              <w:left w:val="single" w:sz="8" w:space="0" w:color="auto"/>
              <w:bottom w:val="single" w:sz="4" w:space="0" w:color="auto"/>
              <w:right w:val="nil"/>
            </w:tcBorders>
            <w:vAlign w:val="center"/>
            <w:hideMark/>
          </w:tcPr>
          <w:p w14:paraId="1A16A223" w14:textId="2A901082" w:rsidR="00854DDE" w:rsidRPr="00C650D8" w:rsidRDefault="00854DDE" w:rsidP="00243AAD">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 xml:space="preserve">Contact </w:t>
            </w:r>
          </w:p>
        </w:tc>
        <w:tc>
          <w:tcPr>
            <w:tcW w:w="8910" w:type="dxa"/>
            <w:tcBorders>
              <w:top w:val="single" w:sz="4" w:space="0" w:color="auto"/>
              <w:left w:val="single" w:sz="8" w:space="0" w:color="auto"/>
              <w:bottom w:val="single" w:sz="4" w:space="0" w:color="auto"/>
              <w:right w:val="single" w:sz="8" w:space="0" w:color="auto"/>
            </w:tcBorders>
            <w:noWrap/>
            <w:vAlign w:val="center"/>
            <w:hideMark/>
          </w:tcPr>
          <w:p w14:paraId="62343176" w14:textId="78F70395" w:rsidR="00854DDE" w:rsidRDefault="00854DDE" w:rsidP="00854DDE">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Hawai‘i Department of Agriculture and Biosecurity</w:t>
            </w:r>
          </w:p>
          <w:p w14:paraId="52ADC053" w14:textId="5B54E078" w:rsidR="00854DDE" w:rsidRDefault="00854DDE" w:rsidP="00854DDE">
            <w:pPr>
              <w:spacing w:after="0" w:line="240" w:lineRule="auto"/>
              <w:rPr>
                <w:rFonts w:ascii="Arial" w:eastAsia="Times New Roman" w:hAnsi="Arial" w:cs="Arial"/>
                <w:color w:val="000000"/>
                <w:kern w:val="0"/>
                <w:sz w:val="22"/>
                <w:szCs w:val="22"/>
                <w14:ligatures w14:val="none"/>
              </w:rPr>
            </w:pPr>
            <w:r w:rsidRPr="00C650D8">
              <w:rPr>
                <w:rFonts w:ascii="Arial" w:eastAsia="Times New Roman" w:hAnsi="Arial" w:cs="Arial"/>
                <w:color w:val="000000"/>
                <w:kern w:val="0"/>
                <w:sz w:val="22"/>
                <w:szCs w:val="22"/>
                <w14:ligatures w14:val="none"/>
              </w:rPr>
              <w:t>Plant Industry Division</w:t>
            </w:r>
          </w:p>
          <w:p w14:paraId="4AD9FED4" w14:textId="74A2157A" w:rsidR="00854DDE" w:rsidRPr="00E900D6" w:rsidRDefault="00854DDE" w:rsidP="00854DDE">
            <w:pPr>
              <w:spacing w:after="0" w:line="240" w:lineRule="auto"/>
              <w:rPr>
                <w:rFonts w:ascii="Arial" w:eastAsia="Times New Roman" w:hAnsi="Arial" w:cs="Arial"/>
                <w:color w:val="000000"/>
                <w:kern w:val="0"/>
                <w:sz w:val="22"/>
                <w:szCs w:val="22"/>
                <w:u w:val="single"/>
                <w14:ligatures w14:val="none"/>
              </w:rPr>
            </w:pPr>
            <w:r w:rsidRPr="00C650D8">
              <w:rPr>
                <w:rFonts w:ascii="Arial" w:eastAsia="Times New Roman" w:hAnsi="Arial" w:cs="Arial"/>
                <w:color w:val="000000"/>
                <w:kern w:val="0"/>
                <w:sz w:val="22"/>
                <w:szCs w:val="22"/>
                <w:u w:val="single"/>
                <w14:ligatures w14:val="none"/>
              </w:rPr>
              <w:t>dab.compost@hawaii.gov</w:t>
            </w:r>
          </w:p>
          <w:p w14:paraId="7156CB97" w14:textId="19F581EF" w:rsidR="00854DDE" w:rsidRPr="00C650D8" w:rsidRDefault="00854DDE" w:rsidP="00243AAD">
            <w:pPr>
              <w:spacing w:after="0" w:line="240" w:lineRule="auto"/>
              <w:ind w:firstLineChars="100" w:firstLine="220"/>
              <w:rPr>
                <w:rFonts w:ascii="Arial" w:eastAsia="Times New Roman" w:hAnsi="Arial" w:cs="Arial"/>
                <w:color w:val="000000"/>
                <w:kern w:val="0"/>
                <w:sz w:val="22"/>
                <w:szCs w:val="22"/>
                <w14:ligatures w14:val="none"/>
              </w:rPr>
            </w:pPr>
          </w:p>
        </w:tc>
      </w:tr>
      <w:tr w:rsidR="006F7F5A" w:rsidRPr="00C650D8" w14:paraId="1952E644" w14:textId="77777777" w:rsidTr="00C12099">
        <w:trPr>
          <w:trHeight w:val="2393"/>
        </w:trPr>
        <w:tc>
          <w:tcPr>
            <w:tcW w:w="10790" w:type="dxa"/>
            <w:gridSpan w:val="2"/>
            <w:tcBorders>
              <w:top w:val="single" w:sz="4" w:space="0" w:color="auto"/>
              <w:left w:val="single" w:sz="8" w:space="0" w:color="auto"/>
              <w:bottom w:val="single" w:sz="8" w:space="0" w:color="000000"/>
              <w:right w:val="single" w:sz="8" w:space="0" w:color="auto"/>
            </w:tcBorders>
          </w:tcPr>
          <w:p w14:paraId="08147A15" w14:textId="77777777" w:rsidR="00164375" w:rsidRPr="00164375" w:rsidRDefault="00164375" w:rsidP="00854DDE">
            <w:pPr>
              <w:spacing w:after="0" w:line="240" w:lineRule="auto"/>
              <w:rPr>
                <w:rFonts w:ascii="Arial" w:eastAsia="Times New Roman" w:hAnsi="Arial" w:cs="Arial"/>
                <w:color w:val="000000"/>
                <w:kern w:val="0"/>
                <w:sz w:val="6"/>
                <w:szCs w:val="6"/>
                <w14:ligatures w14:val="none"/>
              </w:rPr>
            </w:pPr>
          </w:p>
          <w:p w14:paraId="044264B0" w14:textId="4984D60D" w:rsidR="006F7F5A" w:rsidRDefault="006F7F5A" w:rsidP="00854DDE">
            <w:pPr>
              <w:spacing w:after="0" w:line="240" w:lineRule="auto"/>
              <w:rPr>
                <w:rFonts w:ascii="Arial" w:eastAsia="Times New Roman" w:hAnsi="Arial" w:cs="Arial"/>
                <w:color w:val="000000"/>
                <w:kern w:val="0"/>
                <w:sz w:val="20"/>
                <w:szCs w:val="20"/>
                <w14:ligatures w14:val="none"/>
              </w:rPr>
            </w:pPr>
            <w:r w:rsidRPr="00C12099">
              <w:rPr>
                <w:rFonts w:ascii="Arial" w:eastAsia="Times New Roman" w:hAnsi="Arial" w:cs="Arial"/>
                <w:color w:val="000000"/>
                <w:kern w:val="0"/>
                <w:sz w:val="20"/>
                <w:szCs w:val="20"/>
                <w14:ligatures w14:val="none"/>
              </w:rPr>
              <w:t>DA</w:t>
            </w:r>
            <w:r w:rsidR="00C12099" w:rsidRPr="00C12099">
              <w:rPr>
                <w:rFonts w:ascii="Arial" w:eastAsia="Times New Roman" w:hAnsi="Arial" w:cs="Arial"/>
                <w:color w:val="000000"/>
                <w:kern w:val="0"/>
                <w:sz w:val="20"/>
                <w:szCs w:val="20"/>
                <w14:ligatures w14:val="none"/>
              </w:rPr>
              <w:t>B</w:t>
            </w:r>
            <w:r w:rsidRPr="00C12099">
              <w:rPr>
                <w:rFonts w:ascii="Arial" w:eastAsia="Times New Roman" w:hAnsi="Arial" w:cs="Arial"/>
                <w:color w:val="000000"/>
                <w:kern w:val="0"/>
                <w:sz w:val="20"/>
                <w:szCs w:val="20"/>
                <w14:ligatures w14:val="none"/>
              </w:rPr>
              <w:t xml:space="preserve"> is committed to maintaining an environment free from discrimination, retaliation, or harassment </w:t>
            </w:r>
            <w:proofErr w:type="gramStart"/>
            <w:r w:rsidRPr="00C12099">
              <w:rPr>
                <w:rFonts w:ascii="Arial" w:eastAsia="Times New Roman" w:hAnsi="Arial" w:cs="Arial"/>
                <w:color w:val="000000"/>
                <w:kern w:val="0"/>
                <w:sz w:val="20"/>
                <w:szCs w:val="20"/>
                <w14:ligatures w14:val="none"/>
              </w:rPr>
              <w:t>on the basis of</w:t>
            </w:r>
            <w:proofErr w:type="gramEnd"/>
            <w:r w:rsidRPr="00C12099">
              <w:rPr>
                <w:rFonts w:ascii="Arial" w:eastAsia="Times New Roman" w:hAnsi="Arial" w:cs="Arial"/>
                <w:color w:val="000000"/>
                <w:kern w:val="0"/>
                <w:sz w:val="20"/>
                <w:szCs w:val="20"/>
                <w14:ligatures w14:val="none"/>
              </w:rPr>
              <w:t xml:space="preserve"> race, color, sex, national origin, age, or disability, or any other class as protected under federal or state law, with respect to any program or activity.</w:t>
            </w:r>
          </w:p>
          <w:p w14:paraId="72987010" w14:textId="77777777" w:rsidR="00C12099" w:rsidRPr="00C12099" w:rsidRDefault="00C12099" w:rsidP="00854DDE">
            <w:pPr>
              <w:spacing w:after="0" w:line="240" w:lineRule="auto"/>
              <w:rPr>
                <w:rFonts w:ascii="Arial" w:eastAsia="Times New Roman" w:hAnsi="Arial" w:cs="Arial"/>
                <w:color w:val="000000"/>
                <w:kern w:val="0"/>
                <w:sz w:val="10"/>
                <w:szCs w:val="10"/>
                <w14:ligatures w14:val="none"/>
              </w:rPr>
            </w:pPr>
          </w:p>
          <w:p w14:paraId="543AF817" w14:textId="28111832" w:rsidR="006F7F5A" w:rsidRDefault="006F7F5A" w:rsidP="00C12099">
            <w:pPr>
              <w:spacing w:after="0" w:line="240" w:lineRule="auto"/>
              <w:rPr>
                <w:rFonts w:ascii="Arial" w:eastAsia="Times New Roman" w:hAnsi="Arial" w:cs="Arial"/>
                <w:color w:val="000000"/>
                <w:kern w:val="0"/>
                <w:sz w:val="20"/>
                <w:szCs w:val="20"/>
                <w14:ligatures w14:val="none"/>
              </w:rPr>
            </w:pPr>
            <w:r w:rsidRPr="00C12099">
              <w:rPr>
                <w:rFonts w:ascii="Arial" w:eastAsia="Times New Roman" w:hAnsi="Arial" w:cs="Arial"/>
                <w:color w:val="000000"/>
                <w:kern w:val="0"/>
                <w:sz w:val="20"/>
                <w:szCs w:val="20"/>
                <w14:ligatures w14:val="none"/>
              </w:rPr>
              <w:t>For more information, including language accessibility and filing a complaint, please contact the DA</w:t>
            </w:r>
            <w:r w:rsidR="00C12099">
              <w:rPr>
                <w:rFonts w:ascii="Arial" w:eastAsia="Times New Roman" w:hAnsi="Arial" w:cs="Arial"/>
                <w:color w:val="000000"/>
                <w:kern w:val="0"/>
                <w:sz w:val="20"/>
                <w:szCs w:val="20"/>
                <w14:ligatures w14:val="none"/>
              </w:rPr>
              <w:t>B</w:t>
            </w:r>
            <w:r w:rsidRPr="00C12099">
              <w:rPr>
                <w:rFonts w:ascii="Arial" w:eastAsia="Times New Roman" w:hAnsi="Arial" w:cs="Arial"/>
                <w:color w:val="000000"/>
                <w:kern w:val="0"/>
                <w:sz w:val="20"/>
                <w:szCs w:val="20"/>
                <w14:ligatures w14:val="none"/>
              </w:rPr>
              <w:t xml:space="preserve"> Non-Discrimination Coordinator at: (808) 973</w:t>
            </w:r>
            <w:r w:rsidR="00715532">
              <w:rPr>
                <w:rFonts w:ascii="Arial" w:eastAsia="Times New Roman" w:hAnsi="Arial" w:cs="Arial"/>
                <w:color w:val="000000"/>
                <w:kern w:val="0"/>
                <w:sz w:val="20"/>
                <w:szCs w:val="20"/>
                <w14:ligatures w14:val="none"/>
              </w:rPr>
              <w:t>-</w:t>
            </w:r>
            <w:r w:rsidRPr="00C12099">
              <w:rPr>
                <w:rFonts w:ascii="Arial" w:eastAsia="Times New Roman" w:hAnsi="Arial" w:cs="Arial"/>
                <w:color w:val="000000"/>
                <w:kern w:val="0"/>
                <w:sz w:val="20"/>
                <w:szCs w:val="20"/>
                <w14:ligatures w14:val="none"/>
              </w:rPr>
              <w:t>9560, or visit D</w:t>
            </w:r>
            <w:r w:rsidR="00C12099" w:rsidRPr="00C12099">
              <w:rPr>
                <w:rFonts w:ascii="Arial" w:eastAsia="Times New Roman" w:hAnsi="Arial" w:cs="Arial"/>
                <w:color w:val="000000"/>
                <w:kern w:val="0"/>
                <w:sz w:val="20"/>
                <w:szCs w:val="20"/>
                <w14:ligatures w14:val="none"/>
              </w:rPr>
              <w:t>AB</w:t>
            </w:r>
            <w:r w:rsidRPr="00C12099">
              <w:rPr>
                <w:rFonts w:ascii="Arial" w:eastAsia="Times New Roman" w:hAnsi="Arial" w:cs="Arial"/>
                <w:color w:val="000000"/>
                <w:kern w:val="0"/>
                <w:sz w:val="20"/>
                <w:szCs w:val="20"/>
                <w14:ligatures w14:val="none"/>
              </w:rPr>
              <w:t xml:space="preserve">'s website: </w:t>
            </w:r>
            <w:hyperlink r:id="rId7" w:history="1">
              <w:r w:rsidR="00C12099" w:rsidRPr="00C12099">
                <w:rPr>
                  <w:rStyle w:val="Hyperlink"/>
                  <w:rFonts w:ascii="Arial" w:eastAsia="Times New Roman" w:hAnsi="Arial" w:cs="Arial"/>
                  <w:kern w:val="0"/>
                  <w:sz w:val="20"/>
                  <w:szCs w:val="20"/>
                  <w14:ligatures w14:val="none"/>
                </w:rPr>
                <w:t>https://dab.hawaii.gov/</w:t>
              </w:r>
            </w:hyperlink>
          </w:p>
          <w:p w14:paraId="2F9678A8" w14:textId="77777777" w:rsidR="00C12099" w:rsidRPr="00C12099" w:rsidRDefault="00C12099" w:rsidP="00C12099">
            <w:pPr>
              <w:spacing w:after="0" w:line="240" w:lineRule="auto"/>
              <w:rPr>
                <w:rFonts w:ascii="Arial" w:eastAsia="Times New Roman" w:hAnsi="Arial" w:cs="Arial"/>
                <w:color w:val="000000"/>
                <w:kern w:val="0"/>
                <w:sz w:val="10"/>
                <w:szCs w:val="10"/>
                <w14:ligatures w14:val="none"/>
              </w:rPr>
            </w:pPr>
          </w:p>
          <w:p w14:paraId="57029675" w14:textId="3A7F523A" w:rsidR="00C12099" w:rsidRPr="00C12099" w:rsidRDefault="00C12099" w:rsidP="00854DDE">
            <w:pPr>
              <w:spacing w:after="0" w:line="240" w:lineRule="auto"/>
              <w:rPr>
                <w:rFonts w:ascii="Arial" w:eastAsia="Times New Roman" w:hAnsi="Arial" w:cs="Arial"/>
                <w:color w:val="000000"/>
                <w:kern w:val="0"/>
                <w:sz w:val="20"/>
                <w:szCs w:val="20"/>
                <w14:ligatures w14:val="none"/>
              </w:rPr>
            </w:pPr>
            <w:r w:rsidRPr="00C12099">
              <w:rPr>
                <w:rFonts w:ascii="Arial" w:eastAsia="Times New Roman" w:hAnsi="Arial" w:cs="Arial"/>
                <w:color w:val="000000"/>
                <w:kern w:val="0"/>
                <w:sz w:val="20"/>
                <w:szCs w:val="20"/>
                <w14:ligatures w14:val="none"/>
              </w:rPr>
              <w:t>To request translation, interpretation, modifications, accommodations, or other auxiliary aids or services for this document, contact the DAB Office of the Chairperson at (808) 973-9560 or email dab.info@hawaii.gov. Include a description of the accommodation you will need and tell us how to contact you if we need more information. Make your request as early as possible. Last minute requests will be accepted but may be impossible to fill.</w:t>
            </w:r>
          </w:p>
        </w:tc>
      </w:tr>
    </w:tbl>
    <w:p w14:paraId="2AC7EE0B" w14:textId="77777777" w:rsidR="000B09E4" w:rsidRDefault="000B09E4"/>
    <w:sectPr w:rsidR="000B09E4" w:rsidSect="000B09E4">
      <w:footerReference w:type="default" r:id="rId8"/>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F84C" w14:textId="77777777" w:rsidR="00E57A77" w:rsidRDefault="00E57A77" w:rsidP="006D1929">
      <w:pPr>
        <w:spacing w:after="0" w:line="240" w:lineRule="auto"/>
      </w:pPr>
      <w:r>
        <w:separator/>
      </w:r>
    </w:p>
  </w:endnote>
  <w:endnote w:type="continuationSeparator" w:id="0">
    <w:p w14:paraId="54265F47" w14:textId="77777777" w:rsidR="00E57A77" w:rsidRDefault="00E57A77" w:rsidP="006D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F9A7" w14:textId="6E5F69C1" w:rsidR="006D1929" w:rsidRDefault="006D1929" w:rsidP="006D1929">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E4A1" w14:textId="77777777" w:rsidR="00E57A77" w:rsidRDefault="00E57A77" w:rsidP="006D1929">
      <w:pPr>
        <w:spacing w:after="0" w:line="240" w:lineRule="auto"/>
      </w:pPr>
      <w:r>
        <w:separator/>
      </w:r>
    </w:p>
  </w:footnote>
  <w:footnote w:type="continuationSeparator" w:id="0">
    <w:p w14:paraId="7A84AE09" w14:textId="77777777" w:rsidR="00E57A77" w:rsidRDefault="00E57A77" w:rsidP="006D19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E4"/>
    <w:rsid w:val="00094DFE"/>
    <w:rsid w:val="000B09E4"/>
    <w:rsid w:val="00103AE3"/>
    <w:rsid w:val="00164375"/>
    <w:rsid w:val="002D42D7"/>
    <w:rsid w:val="00321C3F"/>
    <w:rsid w:val="00396639"/>
    <w:rsid w:val="0040193D"/>
    <w:rsid w:val="004A1ABB"/>
    <w:rsid w:val="004C28C7"/>
    <w:rsid w:val="00520CE0"/>
    <w:rsid w:val="00565F27"/>
    <w:rsid w:val="005E58D2"/>
    <w:rsid w:val="00620D4C"/>
    <w:rsid w:val="006D1929"/>
    <w:rsid w:val="006F0893"/>
    <w:rsid w:val="006F7F5A"/>
    <w:rsid w:val="00703F03"/>
    <w:rsid w:val="00715532"/>
    <w:rsid w:val="007863E0"/>
    <w:rsid w:val="007A6BCA"/>
    <w:rsid w:val="007F5DB8"/>
    <w:rsid w:val="008467DB"/>
    <w:rsid w:val="00854DDE"/>
    <w:rsid w:val="008D1319"/>
    <w:rsid w:val="008F3ACB"/>
    <w:rsid w:val="00900965"/>
    <w:rsid w:val="009C4BB3"/>
    <w:rsid w:val="009D2437"/>
    <w:rsid w:val="00A603B6"/>
    <w:rsid w:val="00B1538C"/>
    <w:rsid w:val="00B91F71"/>
    <w:rsid w:val="00BF0097"/>
    <w:rsid w:val="00C12099"/>
    <w:rsid w:val="00C173CF"/>
    <w:rsid w:val="00D2583D"/>
    <w:rsid w:val="00DA4CAB"/>
    <w:rsid w:val="00DF4AA7"/>
    <w:rsid w:val="00E00BA8"/>
    <w:rsid w:val="00E57A77"/>
    <w:rsid w:val="00E8041C"/>
    <w:rsid w:val="00E900D6"/>
    <w:rsid w:val="00E9402F"/>
    <w:rsid w:val="00EC1098"/>
    <w:rsid w:val="00F0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12351"/>
  <w15:chartTrackingRefBased/>
  <w15:docId w15:val="{2B19A441-5652-4178-8CED-43AFCC6C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9E4"/>
    <w:rPr>
      <w:rFonts w:eastAsiaTheme="majorEastAsia" w:cstheme="majorBidi"/>
      <w:color w:val="272727" w:themeColor="text1" w:themeTint="D8"/>
    </w:rPr>
  </w:style>
  <w:style w:type="paragraph" w:styleId="Title">
    <w:name w:val="Title"/>
    <w:basedOn w:val="Normal"/>
    <w:next w:val="Normal"/>
    <w:link w:val="TitleChar"/>
    <w:uiPriority w:val="10"/>
    <w:qFormat/>
    <w:rsid w:val="000B0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9E4"/>
    <w:pPr>
      <w:spacing w:before="160"/>
      <w:jc w:val="center"/>
    </w:pPr>
    <w:rPr>
      <w:i/>
      <w:iCs/>
      <w:color w:val="404040" w:themeColor="text1" w:themeTint="BF"/>
    </w:rPr>
  </w:style>
  <w:style w:type="character" w:customStyle="1" w:styleId="QuoteChar">
    <w:name w:val="Quote Char"/>
    <w:basedOn w:val="DefaultParagraphFont"/>
    <w:link w:val="Quote"/>
    <w:uiPriority w:val="29"/>
    <w:rsid w:val="000B09E4"/>
    <w:rPr>
      <w:i/>
      <w:iCs/>
      <w:color w:val="404040" w:themeColor="text1" w:themeTint="BF"/>
    </w:rPr>
  </w:style>
  <w:style w:type="paragraph" w:styleId="ListParagraph">
    <w:name w:val="List Paragraph"/>
    <w:basedOn w:val="Normal"/>
    <w:uiPriority w:val="34"/>
    <w:qFormat/>
    <w:rsid w:val="000B09E4"/>
    <w:pPr>
      <w:ind w:left="720"/>
      <w:contextualSpacing/>
    </w:pPr>
  </w:style>
  <w:style w:type="character" w:styleId="IntenseEmphasis">
    <w:name w:val="Intense Emphasis"/>
    <w:basedOn w:val="DefaultParagraphFont"/>
    <w:uiPriority w:val="21"/>
    <w:qFormat/>
    <w:rsid w:val="000B09E4"/>
    <w:rPr>
      <w:i/>
      <w:iCs/>
      <w:color w:val="0F4761" w:themeColor="accent1" w:themeShade="BF"/>
    </w:rPr>
  </w:style>
  <w:style w:type="paragraph" w:styleId="IntenseQuote">
    <w:name w:val="Intense Quote"/>
    <w:basedOn w:val="Normal"/>
    <w:next w:val="Normal"/>
    <w:link w:val="IntenseQuoteChar"/>
    <w:uiPriority w:val="30"/>
    <w:qFormat/>
    <w:rsid w:val="000B0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9E4"/>
    <w:rPr>
      <w:i/>
      <w:iCs/>
      <w:color w:val="0F4761" w:themeColor="accent1" w:themeShade="BF"/>
    </w:rPr>
  </w:style>
  <w:style w:type="character" w:styleId="IntenseReference">
    <w:name w:val="Intense Reference"/>
    <w:basedOn w:val="DefaultParagraphFont"/>
    <w:uiPriority w:val="32"/>
    <w:qFormat/>
    <w:rsid w:val="000B09E4"/>
    <w:rPr>
      <w:b/>
      <w:bCs/>
      <w:smallCaps/>
      <w:color w:val="0F4761" w:themeColor="accent1" w:themeShade="BF"/>
      <w:spacing w:val="5"/>
    </w:rPr>
  </w:style>
  <w:style w:type="character" w:styleId="Hyperlink">
    <w:name w:val="Hyperlink"/>
    <w:basedOn w:val="DefaultParagraphFont"/>
    <w:uiPriority w:val="99"/>
    <w:unhideWhenUsed/>
    <w:rsid w:val="006F7F5A"/>
    <w:rPr>
      <w:color w:val="467886" w:themeColor="hyperlink"/>
      <w:u w:val="single"/>
    </w:rPr>
  </w:style>
  <w:style w:type="character" w:styleId="UnresolvedMention">
    <w:name w:val="Unresolved Mention"/>
    <w:basedOn w:val="DefaultParagraphFont"/>
    <w:uiPriority w:val="99"/>
    <w:semiHidden/>
    <w:unhideWhenUsed/>
    <w:rsid w:val="006F7F5A"/>
    <w:rPr>
      <w:color w:val="605E5C"/>
      <w:shd w:val="clear" w:color="auto" w:fill="E1DFDD"/>
    </w:rPr>
  </w:style>
  <w:style w:type="paragraph" w:styleId="Header">
    <w:name w:val="header"/>
    <w:basedOn w:val="Normal"/>
    <w:link w:val="HeaderChar"/>
    <w:uiPriority w:val="99"/>
    <w:unhideWhenUsed/>
    <w:rsid w:val="006D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929"/>
  </w:style>
  <w:style w:type="paragraph" w:styleId="Footer">
    <w:name w:val="footer"/>
    <w:basedOn w:val="Normal"/>
    <w:link w:val="FooterChar"/>
    <w:uiPriority w:val="99"/>
    <w:unhideWhenUsed/>
    <w:rsid w:val="006D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929"/>
  </w:style>
  <w:style w:type="character" w:styleId="CommentReference">
    <w:name w:val="annotation reference"/>
    <w:basedOn w:val="DefaultParagraphFont"/>
    <w:uiPriority w:val="99"/>
    <w:semiHidden/>
    <w:unhideWhenUsed/>
    <w:rsid w:val="002D42D7"/>
    <w:rPr>
      <w:sz w:val="16"/>
      <w:szCs w:val="16"/>
    </w:rPr>
  </w:style>
  <w:style w:type="paragraph" w:styleId="CommentText">
    <w:name w:val="annotation text"/>
    <w:basedOn w:val="Normal"/>
    <w:link w:val="CommentTextChar"/>
    <w:uiPriority w:val="99"/>
    <w:unhideWhenUsed/>
    <w:rsid w:val="002D42D7"/>
    <w:pPr>
      <w:spacing w:line="240" w:lineRule="auto"/>
    </w:pPr>
    <w:rPr>
      <w:sz w:val="20"/>
      <w:szCs w:val="20"/>
    </w:rPr>
  </w:style>
  <w:style w:type="character" w:customStyle="1" w:styleId="CommentTextChar">
    <w:name w:val="Comment Text Char"/>
    <w:basedOn w:val="DefaultParagraphFont"/>
    <w:link w:val="CommentText"/>
    <w:uiPriority w:val="99"/>
    <w:rsid w:val="002D42D7"/>
    <w:rPr>
      <w:sz w:val="20"/>
      <w:szCs w:val="20"/>
    </w:rPr>
  </w:style>
  <w:style w:type="paragraph" w:styleId="CommentSubject">
    <w:name w:val="annotation subject"/>
    <w:basedOn w:val="CommentText"/>
    <w:next w:val="CommentText"/>
    <w:link w:val="CommentSubjectChar"/>
    <w:uiPriority w:val="99"/>
    <w:semiHidden/>
    <w:unhideWhenUsed/>
    <w:rsid w:val="002D42D7"/>
    <w:rPr>
      <w:b/>
      <w:bCs/>
    </w:rPr>
  </w:style>
  <w:style w:type="character" w:customStyle="1" w:styleId="CommentSubjectChar">
    <w:name w:val="Comment Subject Char"/>
    <w:basedOn w:val="CommentTextChar"/>
    <w:link w:val="CommentSubject"/>
    <w:uiPriority w:val="99"/>
    <w:semiHidden/>
    <w:rsid w:val="002D42D7"/>
    <w:rPr>
      <w:b/>
      <w:bCs/>
      <w:sz w:val="20"/>
      <w:szCs w:val="20"/>
    </w:rPr>
  </w:style>
  <w:style w:type="paragraph" w:styleId="Revision">
    <w:name w:val="Revision"/>
    <w:hidden/>
    <w:uiPriority w:val="99"/>
    <w:semiHidden/>
    <w:rsid w:val="002D4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ab.hawaii.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Normal.dotm</Template>
  <TotalTime>286</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Yeong H</dc:creator>
  <cp:keywords/>
  <dc:description/>
  <cp:lastModifiedBy>Lau, Yeong H</cp:lastModifiedBy>
  <cp:revision>17</cp:revision>
  <dcterms:created xsi:type="dcterms:W3CDTF">2025-10-23T02:41:00Z</dcterms:created>
  <dcterms:modified xsi:type="dcterms:W3CDTF">2025-10-23T07:36:00Z</dcterms:modified>
</cp:coreProperties>
</file>